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市场监督管理局</w:t>
      </w:r>
      <w:r>
        <w:rPr>
          <w:rFonts w:ascii="Times New Roman" w:hAnsi="Times New Roman" w:eastAsia="方正小标宋简体" w:cs="Times New Roman"/>
          <w:sz w:val="44"/>
          <w:szCs w:val="44"/>
        </w:rPr>
        <w:t>2022年部门预算信息公开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rPr>
        <w:t>市场</w:t>
      </w:r>
      <w:r>
        <w:rPr>
          <w:rFonts w:ascii="Times New Roman" w:hAnsi="Times New Roman" w:eastAsia="仿宋_GB2312" w:cs="Times New Roman"/>
          <w:sz w:val="32"/>
          <w:szCs w:val="32"/>
        </w:rPr>
        <w:t>监督管理局2022年部门预算公开如下：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根据《香河县市场监管局职能配置、内设机构和人员编制规定》， 香河县市场监管局的主要职责是：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负责全县市场综合监督管理。贯彻落实市场监督管理和药品监督管理有关法律法规规章，起草全县市场监督管理有关地方政府规章草案，制定有关政策、标准，组织实施质量强县战略、食品安全战略、标准化战略、知识产权战略，拟订并组织实施有关规划，规范和维护市场秩序，营造诚实守信、公平竞争的市场环境。</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（二）负责建立和完善全县市场主体信息公示和共享机制，依法公示和共享有关信息，加强信用监管，推动市场主体信用体系建设。</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负责组织和指导全县市场监管综合执法工作。指导全县市场监管综合执法队伍整合和建设，推动实行统一的市场监管。组织查处重大违法案件。规范市场监管行政执法行为。承担县“双随机一公开”监管工作领导小组办公室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（四）负责反垄断统一执法。组织推进竞争政策实施，指导实施公平竞争审查制度。依法对经营者集中行为进行反垄断审查，负责垄断协议、滥用市场支配地位和滥用行政权力排除、限制竞争等反垄断执法工作。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负责监督管理市场秩序。依法监督管理全县市场交易、网络商品交易及有关服务的行为。组织指导查处价格收费违法违规、不正当竞争、违法直销、传销、侵犯商标专利知识产权和制售假冒伪劣行为。指导全县广告业发展，监督管理广告活动。指导查处无照生产经营和相关无证生产经营行为。指导县消费者协会开展消费维权工作。承担县散煤治理工作领导小组办公室日常工作。承担县打击传销领导小组办公室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负责全县宏观质量管理。拟订并实施全县质量发展的制度措施。统筹全县质量基础设施建设与应用，会同有关部门组织实施重大工程设备质量监理制度，组织重大质量事故调查，组织实施缺陷产品召回制度，监督管理产品防伪工作。承担县质量强县战略领导小组办公室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（七）负责全县产品质量安全监督管理。承担县级产品质量安全风险监控、监督抽查工作。组织实施质量分级制度、质量安全追溯制度。实施工业产品生产许可管理。负责棉花等纤维质量监督工作。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（八）负责全县特种设备安全监督管理。综合管理特种设备安全监察、监督工作，监督检查高耗能特种设备节能标准和锅炉环境保护标准的执行情况。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负责食品安全监督管理综合协调。组织制定并实施全县食品安全重大政策。推动健全食品安全地方党政同责和跨部门协调联动机制。负责食品安全应急体系建设，组织指导全县重大食品安全事件应急处置和调查处理工作，建立健全食品安全信息统一公布和重要信息直报制度。承担县食品安全委员会办公室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按职责分工组织实施特殊食品监督管理。组织指导重大活动食品安全保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药品（含中药、民族药，下同）、医疗器械和化妆品安全监督管理。贯彻执行国家、省、市药品、医疗器械和化妆品法律法规，以及鼓励药品、医疗器械和化妆品新技术新产品的管理与服务政策。配合实施国家基本药物制度。</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（十二）负责药品、医疗器械和化妆品质量管理。监督和指导实施生产质量管理规范和经营质量管理规范。</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负责药品、医疗器械和化妆品上市后风险管理。建立健全全县药品不良反应、医疗器械不良事件、化妆品不良反应和药物滥用监测体系，并开展监测、评价和处置工作。依法承担药品、医疗器械和化妆品安全应急管理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（十四）负责组织和指导药品、医疗器械和化妆品监督检查。负责依法查处药品零售、医疗器械经营、化妆品经营和药品、医疗器械使用环节的违法行为。</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(十五) 负责组织开展药品、医疗器械和化妆品安全宣传、教育培训。推进诚信体系建设。</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（十六）负责贯彻上级药品监督管理工作部署，推动落实药品、医疗器械和化妆品安全企业主体责任，履行党政同责，组织实施药品、医疗器械和化妆品安全考核。</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（十七）推进全县药品、医疗器械和化妆品安全监管信息化建设。完善全县药品、医疗器械和化妆品安全信息统一公布制度和重大信息直报制度，公布重大安全信息。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（十八）负责统一管理全县计量工作。推行法定计量单位和国家计量制度，管理计量器具及量值传递和比对工作。规范、监督商品量和市场计量行为。</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（十九）负责统一管理全县标准化工作。宣传贯彻强制性、推荐性国家标准和行业标准、地方标准。依法协调指导和监督团体标准、企业标准制定工作。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（二十）负责统一管理全县检验检测工作。推进检验检测机构整合和改革，规范检验检测市场，完善检验检测体系，指导协调检验检测行业发展。</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（二十一）负责统一管理、监督和协调全县认证认可工作。组织贯彻实施国家统一的认证认可和合格评定监督管理制度。</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二）负责推进全县知识产权管理工作。贯彻落实加强知识产权强县建设的重大方针政策和发展规划。拟订和实施强化知识产权创造、保护和运用的政策和制度。承担县知识产权战略实施工作领导小组办公室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三）负责保护知识产权。组织起草严格保护商标、专利、原产地地理标志、集成电路布图设计等相关规范性文件并监督实施。按照国家和省知识产权保护体系建设方案，推动建设知识产权保护体系。开展商标、专利执法工作，负责知识产权争议处理、维权援助和纠纷调处工作。参与、协调京津冀知识产权执法协作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（二十四）负责促进知识产权运用工作。拟订知识产权运用和规范交易的政策，促进知识产权转移转化。规范知识产权无形资产评估工作。贯彻实施知识产权中介服务发展与监管的政策措施。</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（二十五）负责建立知识产权公共服务体系。开展县级专利信息服务工作，建设便企利民、互联互通的全县知识产权信息公共服务平台，推动商标、专利等知识产权信息的传播利用。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（二十六）按规定承担国家知识产权局知识产权代办工作任务。组织实施原产地地理标志统一认定制度。</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（二十七）负责全县市场监督管理科技和信息化建设、新闻宣传、对外交流与合作。按规定负责统筹协调涉外知识产权事宜，承担知识产权对外转让审查工作。</w:t>
      </w:r>
    </w:p>
    <w:p>
      <w:pPr>
        <w:spacing w:line="584" w:lineRule="exact"/>
        <w:ind w:firstLine="640" w:firstLineChars="200"/>
        <w:rPr>
          <w:rFonts w:eastAsia="方正仿宋_GBK"/>
          <w:sz w:val="28"/>
        </w:rPr>
      </w:pPr>
      <w:r>
        <w:rPr>
          <w:rFonts w:hint="eastAsia" w:ascii="Times New Roman" w:hAnsi="Times New Roman" w:eastAsia="仿宋_GB2312" w:cs="Times New Roman"/>
          <w:sz w:val="32"/>
          <w:szCs w:val="32"/>
        </w:rPr>
        <w:t>（二十八）完成县委、县政府交办的其他任务。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2" w:hRule="atLeast"/>
          <w:jc w:val="center"/>
        </w:trPr>
        <w:tc>
          <w:tcPr>
            <w:tcW w:w="4443" w:type="dxa"/>
            <w:shd w:val="clear" w:color="auto" w:fill="auto"/>
            <w:vAlign w:val="center"/>
          </w:tcPr>
          <w:p>
            <w:pPr>
              <w:spacing w:line="300" w:lineRule="exact"/>
              <w:jc w:val="left"/>
              <w:rPr>
                <w:rFonts w:ascii="方正书宋_GBK" w:eastAsia="方正书宋_GBK"/>
                <w:sz w:val="28"/>
                <w:szCs w:val="28"/>
              </w:rPr>
            </w:pPr>
            <w:r>
              <w:rPr>
                <w:rFonts w:hint="eastAsia" w:ascii="方正书宋_GBK" w:eastAsia="方正书宋_GBK"/>
                <w:sz w:val="28"/>
                <w:szCs w:val="28"/>
              </w:rPr>
              <w:t>香河县市场监督管理局本级</w:t>
            </w:r>
          </w:p>
        </w:tc>
        <w:tc>
          <w:tcPr>
            <w:tcW w:w="1134" w:type="dxa"/>
            <w:shd w:val="clear" w:color="auto" w:fill="auto"/>
            <w:vAlign w:val="center"/>
          </w:tcPr>
          <w:p>
            <w:pPr>
              <w:spacing w:line="300" w:lineRule="exact"/>
              <w:jc w:val="center"/>
              <w:rPr>
                <w:rFonts w:ascii="方正书宋_GBK" w:eastAsia="方正书宋_GBK"/>
                <w:sz w:val="28"/>
                <w:szCs w:val="28"/>
              </w:rPr>
            </w:pPr>
            <w:r>
              <w:rPr>
                <w:rFonts w:hint="eastAsia" w:ascii="方正书宋_GBK" w:eastAsia="方正书宋_GBK"/>
                <w:sz w:val="28"/>
                <w:szCs w:val="28"/>
              </w:rPr>
              <w:t>行政</w:t>
            </w:r>
          </w:p>
        </w:tc>
        <w:tc>
          <w:tcPr>
            <w:tcW w:w="1276" w:type="dxa"/>
            <w:shd w:val="clear" w:color="auto" w:fill="auto"/>
            <w:vAlign w:val="center"/>
          </w:tcPr>
          <w:p>
            <w:pPr>
              <w:spacing w:line="300" w:lineRule="exact"/>
              <w:jc w:val="center"/>
              <w:rPr>
                <w:rFonts w:ascii="方正书宋_GBK" w:eastAsia="方正书宋_GBK"/>
                <w:sz w:val="28"/>
                <w:szCs w:val="28"/>
              </w:rPr>
            </w:pPr>
            <w:r>
              <w:rPr>
                <w:rFonts w:hint="eastAsia" w:ascii="方正书宋_GBK" w:eastAsia="方正书宋_GBK"/>
                <w:sz w:val="28"/>
                <w:szCs w:val="28"/>
              </w:rPr>
              <w:t>正科级</w:t>
            </w:r>
          </w:p>
        </w:tc>
        <w:tc>
          <w:tcPr>
            <w:tcW w:w="2902" w:type="dxa"/>
            <w:shd w:val="clear" w:color="auto" w:fill="auto"/>
            <w:vAlign w:val="center"/>
          </w:tcPr>
          <w:p>
            <w:pPr>
              <w:spacing w:line="300" w:lineRule="exact"/>
              <w:jc w:val="center"/>
              <w:rPr>
                <w:rFonts w:ascii="方正书宋_GBK" w:eastAsia="方正书宋_GBK"/>
                <w:sz w:val="28"/>
                <w:szCs w:val="28"/>
              </w:rPr>
            </w:pPr>
            <w:r>
              <w:rPr>
                <w:rFonts w:hint="eastAsia" w:ascii="方正书宋_GBK" w:eastAsia="方正书宋_GBK"/>
                <w:sz w:val="28"/>
                <w:szCs w:val="28"/>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rPr>
        <w:t>市场监督管理局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反映本部门当年全部收入。2022年预算收入</w:t>
      </w:r>
      <w:r>
        <w:rPr>
          <w:rFonts w:hint="eastAsia" w:ascii="Times New Roman" w:hAnsi="Times New Roman" w:eastAsia="仿宋_GB2312" w:cs="Times New Roman"/>
          <w:sz w:val="32"/>
          <w:szCs w:val="32"/>
        </w:rPr>
        <w:t>5642.59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5642.59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color w:val="auto"/>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市场监督管理局</w:t>
      </w:r>
      <w:r>
        <w:rPr>
          <w:rFonts w:ascii="Times New Roman" w:hAnsi="Times New Roman" w:eastAsia="仿宋_GB2312" w:cs="Times New Roman"/>
          <w:sz w:val="32"/>
          <w:szCs w:val="32"/>
        </w:rPr>
        <w:t>年度部门预算中支出预算的总体情况。2022年支出预算</w:t>
      </w:r>
      <w:r>
        <w:rPr>
          <w:rFonts w:hint="eastAsia" w:ascii="Times New Roman" w:hAnsi="Times New Roman" w:eastAsia="仿宋_GB2312" w:cs="Times New Roman"/>
          <w:sz w:val="32"/>
          <w:szCs w:val="32"/>
        </w:rPr>
        <w:t xml:space="preserve">5642.59 </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3394.16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3077.37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316.79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2248.43</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食品抽检经费、产品质量抽检经费、企业公示信息抽查经费等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rPr>
        <w:t>5642.59</w:t>
      </w:r>
      <w:r>
        <w:rPr>
          <w:rFonts w:ascii="Times New Roman" w:hAnsi="Times New Roman" w:eastAsia="仿宋_GB2312" w:cs="Times New Roman"/>
          <w:sz w:val="32"/>
          <w:szCs w:val="32"/>
        </w:rPr>
        <w:t>万元，较2021年预算</w:t>
      </w:r>
      <w:r>
        <w:rPr>
          <w:rFonts w:hint="eastAsia" w:ascii="Times New Roman" w:hAnsi="Times New Roman" w:eastAsia="仿宋_GB2312" w:cs="Times New Roman"/>
          <w:sz w:val="32"/>
          <w:szCs w:val="32"/>
        </w:rPr>
        <w:t>5781.47万元</w:t>
      </w:r>
      <w:r>
        <w:rPr>
          <w:rFonts w:ascii="Times New Roman" w:hAnsi="Times New Roman" w:eastAsia="仿宋_GB2312" w:cs="Times New Roman"/>
          <w:sz w:val="32"/>
          <w:szCs w:val="32"/>
        </w:rPr>
        <w:t>减少</w:t>
      </w:r>
      <w:r>
        <w:rPr>
          <w:rFonts w:hint="eastAsia" w:ascii="Times New Roman" w:hAnsi="Times New Roman" w:eastAsia="仿宋_GB2312" w:cs="Times New Roman"/>
          <w:sz w:val="32"/>
          <w:szCs w:val="32"/>
        </w:rPr>
        <w:t>138.88</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632.16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工资福利支出</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493.28</w:t>
      </w:r>
      <w:r>
        <w:rPr>
          <w:rFonts w:ascii="Times New Roman" w:hAnsi="Times New Roman" w:eastAsia="仿宋_GB2312" w:cs="Times New Roman"/>
          <w:sz w:val="32"/>
          <w:szCs w:val="32"/>
        </w:rPr>
        <w:t>万元，主要为成品油快速检测专用车购置经费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冀财预（2021）74号在职人员工资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电代煤村街散煤管控工作补助经费项目支出。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rPr>
        <w:t>316.79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香河县市场监督管理局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2022年，我局财政拨款“三公”经费预算安排</w:t>
      </w:r>
      <w:r>
        <w:rPr>
          <w:rFonts w:hint="eastAsia" w:ascii="Times New Roman" w:hAnsi="Times New Roman" w:eastAsia="仿宋_GB2312" w:cs="Times New Roman"/>
          <w:sz w:val="32"/>
          <w:szCs w:val="32"/>
        </w:rPr>
        <w:t>64.2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64.2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64.2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万元。与2021年预算</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少0.08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因公出国（境）费与2021年相比</w:t>
      </w:r>
      <w:r>
        <w:rPr>
          <w:rFonts w:hint="eastAsia" w:ascii="Times New Roman" w:hAnsi="Times New Roman" w:eastAsia="仿宋_GB2312" w:cs="Times New Roman"/>
          <w:sz w:val="32"/>
          <w:szCs w:val="32"/>
          <w:lang w:val="en-US" w:eastAsia="zh-CN"/>
        </w:rPr>
        <w:t>基本</w:t>
      </w:r>
      <w:r>
        <w:rPr>
          <w:rFonts w:ascii="Times New Roman" w:hAnsi="Times New Roman" w:eastAsia="仿宋_GB2312" w:cs="Times New Roman"/>
          <w:sz w:val="32"/>
          <w:szCs w:val="32"/>
        </w:rPr>
        <w:t>持平，无增减变化，公务用车购置及运维费与2021年相比</w:t>
      </w:r>
      <w:r>
        <w:rPr>
          <w:rFonts w:hint="eastAsia" w:ascii="Times New Roman" w:hAnsi="Times New Roman" w:eastAsia="仿宋_GB2312" w:cs="Times New Roman"/>
          <w:sz w:val="32"/>
          <w:szCs w:val="32"/>
          <w:lang w:val="en-US" w:eastAsia="zh-CN"/>
        </w:rPr>
        <w:t>基本</w:t>
      </w:r>
      <w:r>
        <w:rPr>
          <w:rFonts w:ascii="Times New Roman" w:hAnsi="Times New Roman" w:eastAsia="仿宋_GB2312" w:cs="Times New Roman"/>
          <w:sz w:val="32"/>
          <w:szCs w:val="32"/>
        </w:rPr>
        <w:t>持平，无增减变化（其中：公务用车购置费与2021年相比</w:t>
      </w:r>
      <w:r>
        <w:rPr>
          <w:rFonts w:hint="eastAsia" w:ascii="Times New Roman" w:hAnsi="Times New Roman" w:eastAsia="仿宋_GB2312" w:cs="Times New Roman"/>
          <w:sz w:val="32"/>
          <w:szCs w:val="32"/>
          <w:lang w:val="en-US" w:eastAsia="zh-CN"/>
        </w:rPr>
        <w:t>基本</w:t>
      </w:r>
      <w:r>
        <w:rPr>
          <w:rFonts w:ascii="Times New Roman" w:hAnsi="Times New Roman" w:eastAsia="仿宋_GB2312" w:cs="Times New Roman"/>
          <w:sz w:val="32"/>
          <w:szCs w:val="32"/>
        </w:rPr>
        <w:t>持平，无增减变化，公务用车运维费与2021年相比</w:t>
      </w:r>
      <w:r>
        <w:rPr>
          <w:rFonts w:hint="eastAsia" w:ascii="Times New Roman" w:hAnsi="Times New Roman" w:eastAsia="仿宋_GB2312" w:cs="Times New Roman"/>
          <w:sz w:val="32"/>
          <w:szCs w:val="32"/>
          <w:lang w:val="en-US" w:eastAsia="zh-CN"/>
        </w:rPr>
        <w:t>基本</w:t>
      </w:r>
      <w:r>
        <w:rPr>
          <w:rFonts w:ascii="Times New Roman" w:hAnsi="Times New Roman" w:eastAsia="仿宋_GB2312" w:cs="Times New Roman"/>
          <w:sz w:val="32"/>
          <w:szCs w:val="32"/>
        </w:rPr>
        <w:t>持平，无增减变化)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主要原因是成品油快速检测专用车购置税</w:t>
      </w:r>
      <w:r>
        <w:rPr>
          <w:rFonts w:hint="eastAsia" w:ascii="Times New Roman" w:hAnsi="Times New Roman" w:eastAsia="仿宋_GB2312" w:cs="Times New Roman"/>
          <w:sz w:val="32"/>
          <w:szCs w:val="32"/>
        </w:rPr>
        <w:t>使</w:t>
      </w:r>
      <w:r>
        <w:rPr>
          <w:rFonts w:ascii="Times New Roman" w:hAnsi="Times New Roman" w:eastAsia="仿宋_GB2312" w:cs="Times New Roman"/>
          <w:sz w:val="32"/>
          <w:szCs w:val="32"/>
        </w:rPr>
        <w:t>运行维护</w:t>
      </w:r>
      <w:r>
        <w:rPr>
          <w:rFonts w:hint="eastAsia" w:ascii="Times New Roman" w:hAnsi="Times New Roman" w:eastAsia="仿宋_GB2312" w:cs="Times New Roman"/>
          <w:sz w:val="32"/>
          <w:szCs w:val="32"/>
        </w:rPr>
        <w:t>费</w:t>
      </w:r>
      <w:r>
        <w:rPr>
          <w:rFonts w:ascii="Times New Roman" w:hAnsi="Times New Roman" w:eastAsia="仿宋_GB2312" w:cs="Times New Roman"/>
          <w:sz w:val="32"/>
          <w:szCs w:val="32"/>
        </w:rPr>
        <w:t>有所增加；公务接待费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与</w:t>
      </w:r>
      <w:r>
        <w:rPr>
          <w:rFonts w:ascii="Times New Roman" w:hAnsi="Times New Roman" w:eastAsia="仿宋_GB2312" w:cs="Times New Roman"/>
          <w:sz w:val="32"/>
          <w:szCs w:val="32"/>
        </w:rPr>
        <w:t>2021年相比减</w:t>
      </w:r>
      <w:r>
        <w:rPr>
          <w:rFonts w:hint="eastAsia" w:ascii="Times New Roman" w:hAnsi="Times New Roman" w:eastAsia="仿宋_GB2312" w:cs="Times New Roman"/>
          <w:sz w:val="32"/>
          <w:szCs w:val="32"/>
        </w:rPr>
        <w:t>少0.08万元，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以习近平新时代中国特色社会主义思想为指引，紧扣县委、政府和上级业务部门的中心工作，围绕服务发展大局，优化营商环境、推进质量提升、强化知识产权保护、维护公平竞争秩序、坚守安全底线、加强队伍建设，为建设“协同发展示范区、绿色活力幸福城”做出新的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4"/>
        <w:ind w:firstLine="640" w:firstLineChars="200"/>
        <w:rPr>
          <w:rFonts w:eastAsia="仿宋_GB2312"/>
          <w:kern w:val="2"/>
          <w:sz w:val="32"/>
          <w:szCs w:val="32"/>
          <w:lang w:eastAsia="zh-CN"/>
        </w:rPr>
      </w:pPr>
      <w:r>
        <w:rPr>
          <w:rFonts w:eastAsia="仿宋_GB2312"/>
          <w:kern w:val="2"/>
          <w:sz w:val="32"/>
          <w:szCs w:val="32"/>
          <w:lang w:eastAsia="zh-CN"/>
        </w:rPr>
        <w:t>（一）全县市场综合监督管理。贯彻落实市场监督管理和药品监督管理有关法律法规规章，制定有关政策、标准，组织实施质量强县战略、食品安全战略、标准化战略、知识产权战略，拟订并组织实施有关规划，规范和维护市场秩序，营造诚实守信、公平竞争的市场环境。</w:t>
      </w:r>
    </w:p>
    <w:p>
      <w:pPr>
        <w:pStyle w:val="14"/>
        <w:rPr>
          <w:rFonts w:eastAsia="仿宋_GB2312"/>
          <w:kern w:val="2"/>
          <w:sz w:val="32"/>
          <w:szCs w:val="32"/>
          <w:lang w:eastAsia="zh-CN"/>
        </w:rPr>
      </w:pPr>
      <w:r>
        <w:rPr>
          <w:rFonts w:eastAsia="仿宋_GB2312"/>
          <w:kern w:val="2"/>
          <w:sz w:val="32"/>
          <w:szCs w:val="32"/>
          <w:lang w:eastAsia="zh-CN"/>
        </w:rPr>
        <w:t>（二）建立和完善全县市场主体信息公示和共享机制，依法公示和共享有关信息，加强信用监管，推动市场主体信用体系建设。</w:t>
      </w:r>
    </w:p>
    <w:p>
      <w:pPr>
        <w:pStyle w:val="14"/>
        <w:rPr>
          <w:rFonts w:eastAsia="仿宋_GB2312"/>
          <w:kern w:val="2"/>
          <w:sz w:val="32"/>
          <w:szCs w:val="32"/>
          <w:lang w:eastAsia="zh-CN"/>
        </w:rPr>
      </w:pPr>
      <w:r>
        <w:rPr>
          <w:rFonts w:eastAsia="仿宋_GB2312"/>
          <w:kern w:val="2"/>
          <w:sz w:val="32"/>
          <w:szCs w:val="32"/>
          <w:lang w:eastAsia="zh-CN"/>
        </w:rPr>
        <w:t>（三）组织和指导全县市场监管综合执法工作。指导全县市场监管综合执法队伍整合和建设，推动实行统一的市场监管。组织查处重大违法案件。规范市场监管行政执法行为。做好县“双随机一公开”监管工作领导小组办公室日常工作。</w:t>
      </w:r>
    </w:p>
    <w:p>
      <w:pPr>
        <w:pStyle w:val="14"/>
        <w:rPr>
          <w:rFonts w:eastAsia="仿宋_GB2312"/>
          <w:kern w:val="2"/>
          <w:sz w:val="32"/>
          <w:szCs w:val="32"/>
          <w:lang w:eastAsia="zh-CN"/>
        </w:rPr>
      </w:pPr>
      <w:r>
        <w:rPr>
          <w:rFonts w:eastAsia="仿宋_GB2312"/>
          <w:kern w:val="2"/>
          <w:sz w:val="32"/>
          <w:szCs w:val="32"/>
          <w:lang w:eastAsia="zh-CN"/>
        </w:rPr>
        <w:t>（四）反垄断统一执法。组织推进竞争政策实施，指导实施公平竞争审查制度。依法对经营者集中行为进行反垄断审查，做好垄断协议、滥用市场支配地位和滥用行政权力排除、限制竞争等反垄断执法工作。</w:t>
      </w:r>
    </w:p>
    <w:p>
      <w:pPr>
        <w:pStyle w:val="14"/>
        <w:rPr>
          <w:rFonts w:eastAsia="仿宋_GB2312"/>
          <w:kern w:val="2"/>
          <w:sz w:val="32"/>
          <w:szCs w:val="32"/>
          <w:lang w:eastAsia="zh-CN"/>
        </w:rPr>
      </w:pPr>
      <w:r>
        <w:rPr>
          <w:rFonts w:eastAsia="仿宋_GB2312"/>
          <w:kern w:val="2"/>
          <w:sz w:val="32"/>
          <w:szCs w:val="32"/>
          <w:lang w:eastAsia="zh-CN"/>
        </w:rPr>
        <w:t>（五）监督管理市场秩序。依法监督管理全县市场交易、网络商品交易及有关服务的行为。组织指导查处价格收费违法违规、不正当竞争、违法直销、传销、侵犯商标专利知识产权和制售假冒伪劣行为。指导全县广告业发展，监督管理广告活动。指导查处无照生产经营和相关无证生产经营行为。指导县消费者协会开展消费维权工作。</w:t>
      </w:r>
    </w:p>
    <w:p>
      <w:pPr>
        <w:pStyle w:val="14"/>
        <w:rPr>
          <w:rFonts w:eastAsia="仿宋_GB2312"/>
          <w:kern w:val="2"/>
          <w:sz w:val="32"/>
          <w:szCs w:val="32"/>
          <w:lang w:eastAsia="zh-CN"/>
        </w:rPr>
      </w:pPr>
      <w:r>
        <w:rPr>
          <w:rFonts w:eastAsia="仿宋_GB2312"/>
          <w:kern w:val="2"/>
          <w:sz w:val="32"/>
          <w:szCs w:val="32"/>
          <w:lang w:eastAsia="zh-CN"/>
        </w:rPr>
        <w:t>（六）全县宏观质量管理。拟订并实施全县质量发展的制度措施。统筹全县质量基础设施建设与应用，会同有关部门组织实施重大工程设备质量监理制度，组织重大质量事故调查，组织实施缺陷产品召回制度，监督管理产品防伪工作。做好县质量强县战略领导小组办公室日常工作。</w:t>
      </w:r>
    </w:p>
    <w:p>
      <w:pPr>
        <w:pStyle w:val="14"/>
        <w:rPr>
          <w:rFonts w:eastAsia="仿宋_GB2312"/>
          <w:kern w:val="2"/>
          <w:sz w:val="32"/>
          <w:szCs w:val="32"/>
          <w:lang w:eastAsia="zh-CN"/>
        </w:rPr>
      </w:pPr>
      <w:r>
        <w:rPr>
          <w:rFonts w:eastAsia="仿宋_GB2312"/>
          <w:kern w:val="2"/>
          <w:sz w:val="32"/>
          <w:szCs w:val="32"/>
          <w:lang w:eastAsia="zh-CN"/>
        </w:rPr>
        <w:t>（七）全县产品质量安全监督管理。承担县级产品质量安全风险监控、监督抽查工作。组织实施质量分级制度、质量安全追溯制度。实施工业产品生产许可管理。</w:t>
      </w:r>
    </w:p>
    <w:p>
      <w:pPr>
        <w:pStyle w:val="14"/>
        <w:rPr>
          <w:rFonts w:eastAsia="仿宋_GB2312"/>
          <w:kern w:val="2"/>
          <w:sz w:val="32"/>
          <w:szCs w:val="32"/>
          <w:lang w:eastAsia="zh-CN"/>
        </w:rPr>
      </w:pPr>
      <w:r>
        <w:rPr>
          <w:rFonts w:eastAsia="仿宋_GB2312"/>
          <w:kern w:val="2"/>
          <w:sz w:val="32"/>
          <w:szCs w:val="32"/>
          <w:lang w:eastAsia="zh-CN"/>
        </w:rPr>
        <w:t>（八）全县特种设备安全监督管理。综合管理特种设备安全监察、监督工作，监督检查高耗能特种设备节能标准和锅炉环境保护标准的执行情况。</w:t>
      </w:r>
    </w:p>
    <w:p>
      <w:pPr>
        <w:pStyle w:val="14"/>
        <w:rPr>
          <w:rFonts w:eastAsia="仿宋_GB2312"/>
          <w:kern w:val="2"/>
          <w:sz w:val="32"/>
          <w:szCs w:val="32"/>
          <w:lang w:eastAsia="zh-CN"/>
        </w:rPr>
      </w:pPr>
      <w:r>
        <w:rPr>
          <w:rFonts w:eastAsia="仿宋_GB2312"/>
          <w:kern w:val="2"/>
          <w:sz w:val="32"/>
          <w:szCs w:val="32"/>
          <w:lang w:eastAsia="zh-CN"/>
        </w:rPr>
        <w:t>（九）食品安全监督管理综合协调。组织制定并实施全县食品安全重大政策。推动健全食品安全地方党政同责和跨部门协调联动机制。负责食品安全应急体系建设，组织指导全县重大食品安全事件应急处置和调查处理工作，建立健全食品安全信息统一公布和重要信息直报制度。做好县食品安全委员会办公室日常工作。</w:t>
      </w:r>
    </w:p>
    <w:p>
      <w:pPr>
        <w:pStyle w:val="14"/>
        <w:rPr>
          <w:rFonts w:eastAsia="仿宋_GB2312"/>
          <w:kern w:val="2"/>
          <w:sz w:val="32"/>
          <w:szCs w:val="32"/>
          <w:lang w:eastAsia="zh-CN"/>
        </w:rPr>
      </w:pPr>
      <w:r>
        <w:rPr>
          <w:rFonts w:eastAsia="仿宋_GB2312"/>
          <w:kern w:val="2"/>
          <w:sz w:val="32"/>
          <w:szCs w:val="32"/>
          <w:lang w:eastAsia="zh-CN"/>
        </w:rPr>
        <w:t>（十）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按职责分工组织实施特殊食品监督管理。组织指导重大活动食品安全保障。</w:t>
      </w:r>
    </w:p>
    <w:p>
      <w:pPr>
        <w:pStyle w:val="14"/>
        <w:rPr>
          <w:rFonts w:eastAsia="仿宋_GB2312"/>
          <w:kern w:val="2"/>
          <w:sz w:val="32"/>
          <w:szCs w:val="32"/>
          <w:lang w:eastAsia="zh-CN"/>
        </w:rPr>
      </w:pPr>
      <w:r>
        <w:rPr>
          <w:rFonts w:eastAsia="仿宋_GB2312"/>
          <w:kern w:val="2"/>
          <w:sz w:val="32"/>
          <w:szCs w:val="32"/>
          <w:lang w:eastAsia="zh-CN"/>
        </w:rPr>
        <w:t>（十一）负责药品、医疗器械和化妆品质量管理。监督和指导实施生产质量管理规范和经营质量管理规范。依法查处药品零售、医疗器械经营、化妆品经营和药品、医疗器械使用环节的违法行为。</w:t>
      </w:r>
    </w:p>
    <w:p>
      <w:pPr>
        <w:pStyle w:val="14"/>
        <w:rPr>
          <w:rFonts w:eastAsia="仿宋_GB2312"/>
          <w:kern w:val="2"/>
          <w:sz w:val="32"/>
          <w:szCs w:val="32"/>
          <w:lang w:eastAsia="zh-CN"/>
        </w:rPr>
      </w:pPr>
      <w:r>
        <w:rPr>
          <w:rFonts w:eastAsia="仿宋_GB2312"/>
          <w:kern w:val="2"/>
          <w:sz w:val="32"/>
          <w:szCs w:val="32"/>
          <w:lang w:eastAsia="zh-CN"/>
        </w:rPr>
        <w:t>（十二）药品、医疗器械和化妆品上市后风险管理。建立健全全县药品不良反应、医疗器械不良事件、化妆品不良反应和药物滥用监测体系，并开展监测、评价和处置工作。依法承担药品、医疗器械和化妆品安全应急管理工作。</w:t>
      </w:r>
    </w:p>
    <w:p>
      <w:pPr>
        <w:pStyle w:val="14"/>
        <w:rPr>
          <w:rFonts w:eastAsia="仿宋_GB2312"/>
          <w:kern w:val="2"/>
          <w:sz w:val="32"/>
          <w:szCs w:val="32"/>
          <w:lang w:eastAsia="zh-CN"/>
        </w:rPr>
      </w:pPr>
      <w:r>
        <w:rPr>
          <w:rFonts w:eastAsia="仿宋_GB2312"/>
          <w:kern w:val="2"/>
          <w:sz w:val="32"/>
          <w:szCs w:val="32"/>
          <w:lang w:eastAsia="zh-CN"/>
        </w:rPr>
        <w:t>（十三）统一管理全县计量工作。推行法定计量单位和国家计量制度，管理计量器具及量值传递和比对工作。规范、监督商品量和市场计量行为。</w:t>
      </w:r>
    </w:p>
    <w:p>
      <w:pPr>
        <w:pStyle w:val="14"/>
        <w:rPr>
          <w:rFonts w:eastAsia="仿宋_GB2312"/>
          <w:kern w:val="2"/>
          <w:sz w:val="32"/>
          <w:szCs w:val="32"/>
          <w:lang w:eastAsia="zh-CN"/>
        </w:rPr>
      </w:pPr>
      <w:r>
        <w:rPr>
          <w:rFonts w:eastAsia="仿宋_GB2312"/>
          <w:kern w:val="2"/>
          <w:sz w:val="32"/>
          <w:szCs w:val="32"/>
          <w:lang w:eastAsia="zh-CN"/>
        </w:rPr>
        <w:t>（十四）统一管理全县标准化工作。宣传贯彻强制性、推荐性国家标准和行业标准、地方标准。依法协调指导和监督团体标准、企业标准制定工作。</w:t>
      </w:r>
    </w:p>
    <w:p>
      <w:pPr>
        <w:pStyle w:val="14"/>
        <w:rPr>
          <w:rFonts w:eastAsia="仿宋_GB2312"/>
          <w:kern w:val="2"/>
          <w:sz w:val="32"/>
          <w:szCs w:val="32"/>
          <w:lang w:eastAsia="zh-CN"/>
        </w:rPr>
      </w:pPr>
      <w:r>
        <w:rPr>
          <w:rFonts w:eastAsia="仿宋_GB2312"/>
          <w:kern w:val="2"/>
          <w:sz w:val="32"/>
          <w:szCs w:val="32"/>
          <w:lang w:eastAsia="zh-CN"/>
        </w:rPr>
        <w:t>（十五）统一管理全县检验检测工作。推进检验检测机构整合和改革，规范检验检测市场，完善检验检测体系，指导协调检验检测行业发展。</w:t>
      </w:r>
    </w:p>
    <w:p>
      <w:pPr>
        <w:pStyle w:val="14"/>
        <w:rPr>
          <w:rFonts w:eastAsia="仿宋_GB2312"/>
          <w:kern w:val="2"/>
          <w:sz w:val="32"/>
          <w:szCs w:val="32"/>
          <w:lang w:eastAsia="zh-CN"/>
        </w:rPr>
      </w:pPr>
      <w:r>
        <w:rPr>
          <w:rFonts w:eastAsia="仿宋_GB2312"/>
          <w:kern w:val="2"/>
          <w:sz w:val="32"/>
          <w:szCs w:val="32"/>
          <w:lang w:eastAsia="zh-CN"/>
        </w:rPr>
        <w:t>（十六）统一管理、监督和协调全县认证认可工作。组织贯彻实施国家统一的认证认可和合格评定监督管理制度。</w:t>
      </w:r>
    </w:p>
    <w:p>
      <w:pPr>
        <w:pStyle w:val="14"/>
        <w:rPr>
          <w:rFonts w:eastAsia="仿宋_GB2312"/>
          <w:kern w:val="2"/>
          <w:sz w:val="32"/>
          <w:szCs w:val="32"/>
          <w:lang w:eastAsia="zh-CN"/>
        </w:rPr>
      </w:pPr>
      <w:r>
        <w:rPr>
          <w:rFonts w:eastAsia="仿宋_GB2312"/>
          <w:kern w:val="2"/>
          <w:sz w:val="32"/>
          <w:szCs w:val="32"/>
          <w:lang w:eastAsia="zh-CN"/>
        </w:rPr>
        <w:t>（十七）推进全县知识产权管理工作。贯彻落实加强知识产权强县建设的重大方针政策和发展规划。拟订和实施强化知识产权创造、保护和运用的政策和制度。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（十八）全县市场监督管理科技和信息化建设、新闻宣传、对外交流与合作。统筹协调涉外知识产权事宜和知识产权对外转让审查工作。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5"/>
        <w:rPr>
          <w:rFonts w:eastAsia="仿宋_GB2312"/>
          <w:kern w:val="2"/>
          <w:sz w:val="32"/>
          <w:szCs w:val="32"/>
          <w:lang w:eastAsia="zh-CN"/>
        </w:rPr>
      </w:pPr>
      <w:r>
        <w:rPr>
          <w:rFonts w:eastAsia="仿宋_GB2312"/>
          <w:kern w:val="2"/>
          <w:sz w:val="32"/>
          <w:szCs w:val="32"/>
          <w:lang w:eastAsia="zh-CN"/>
        </w:rPr>
        <w:t>一、加强信用监管机制建设。采取积极有效措施推进市场主体年报信息公示工作，企业年报率不低于去年的94.90%，农专、个体争取应报尽报。加强企业信用监管，通过企业信息归集共享，完善企业经营异常名录、“黑名单”和信用修复制度，推动失信联合惩戒.</w:t>
      </w:r>
    </w:p>
    <w:p>
      <w:pPr>
        <w:pStyle w:val="15"/>
        <w:rPr>
          <w:rFonts w:eastAsia="仿宋_GB2312"/>
          <w:kern w:val="2"/>
          <w:sz w:val="32"/>
          <w:szCs w:val="32"/>
          <w:lang w:eastAsia="zh-CN"/>
        </w:rPr>
      </w:pPr>
      <w:r>
        <w:rPr>
          <w:rFonts w:eastAsia="仿宋_GB2312"/>
          <w:kern w:val="2"/>
          <w:sz w:val="32"/>
          <w:szCs w:val="32"/>
          <w:lang w:eastAsia="zh-CN"/>
        </w:rPr>
        <w:t>二、完善新型监管机制。推进“双随机、一公开”监管规范化、标准化、常态化，抽查企业占比达到5%以上。拓展部门联合“双随机、一公开”监管覆盖范围。</w:t>
      </w:r>
    </w:p>
    <w:p>
      <w:pPr>
        <w:pStyle w:val="15"/>
        <w:rPr>
          <w:rFonts w:eastAsia="仿宋_GB2312"/>
          <w:kern w:val="2"/>
          <w:sz w:val="32"/>
          <w:szCs w:val="32"/>
          <w:lang w:eastAsia="zh-CN"/>
        </w:rPr>
      </w:pPr>
      <w:r>
        <w:rPr>
          <w:rFonts w:eastAsia="仿宋_GB2312"/>
          <w:kern w:val="2"/>
          <w:sz w:val="32"/>
          <w:szCs w:val="32"/>
          <w:lang w:eastAsia="zh-CN"/>
        </w:rPr>
        <w:t>三、加强网络及合同监管。扎实推进线上线下一体化监管，规范网络商品交易秩序。做好动产抵押线上登记工作，支持市场主体特别是民营企业融资发展。</w:t>
      </w:r>
    </w:p>
    <w:p>
      <w:pPr>
        <w:pStyle w:val="15"/>
        <w:rPr>
          <w:rFonts w:eastAsia="仿宋_GB2312"/>
          <w:kern w:val="2"/>
          <w:sz w:val="32"/>
          <w:szCs w:val="32"/>
          <w:lang w:eastAsia="zh-CN"/>
        </w:rPr>
      </w:pPr>
      <w:r>
        <w:rPr>
          <w:rFonts w:eastAsia="仿宋_GB2312"/>
          <w:kern w:val="2"/>
          <w:sz w:val="32"/>
          <w:szCs w:val="32"/>
          <w:lang w:eastAsia="zh-CN"/>
        </w:rPr>
        <w:t>四、提高广告监管效能。依法加强对违法广告主体的查处和管控力度，持续加大医疗、药品、保健食品等关乎民生的重点领域广告监管力度，对损害群众利益的违法者保持“零容忍”。</w:t>
      </w:r>
    </w:p>
    <w:p>
      <w:pPr>
        <w:pStyle w:val="15"/>
        <w:rPr>
          <w:rFonts w:eastAsia="仿宋_GB2312"/>
          <w:kern w:val="2"/>
          <w:sz w:val="32"/>
          <w:szCs w:val="32"/>
          <w:lang w:eastAsia="zh-CN"/>
        </w:rPr>
      </w:pPr>
      <w:r>
        <w:rPr>
          <w:rFonts w:eastAsia="仿宋_GB2312"/>
          <w:kern w:val="2"/>
          <w:sz w:val="32"/>
          <w:szCs w:val="32"/>
          <w:lang w:eastAsia="zh-CN"/>
        </w:rPr>
        <w:t>五、加强价格监管。强化民生等重点领域、重点时段、重点市场的价格监管，规范明码标价，严厉打击哄抬价格、串通涨价、价格欺诈等违法行为，维护正常的市场秩序。</w:t>
      </w:r>
    </w:p>
    <w:p>
      <w:pPr>
        <w:pStyle w:val="15"/>
        <w:rPr>
          <w:rFonts w:eastAsia="仿宋_GB2312"/>
          <w:kern w:val="2"/>
          <w:sz w:val="32"/>
          <w:szCs w:val="32"/>
          <w:lang w:eastAsia="zh-CN"/>
        </w:rPr>
      </w:pPr>
      <w:r>
        <w:rPr>
          <w:rFonts w:eastAsia="仿宋_GB2312"/>
          <w:kern w:val="2"/>
          <w:sz w:val="32"/>
          <w:szCs w:val="32"/>
          <w:lang w:eastAsia="zh-CN"/>
        </w:rPr>
        <w:t>六、维护公平竞争秩序。全面落实公平竞争审查制度，严厉打击市场垄断、虚假宣传等不正当竞争行为，深入推进“扫黑除恶”专项斗争。</w:t>
      </w:r>
    </w:p>
    <w:p>
      <w:pPr>
        <w:pStyle w:val="15"/>
        <w:rPr>
          <w:rFonts w:eastAsia="仿宋_GB2312"/>
          <w:kern w:val="2"/>
          <w:sz w:val="32"/>
          <w:szCs w:val="32"/>
          <w:lang w:eastAsia="zh-CN"/>
        </w:rPr>
      </w:pPr>
      <w:r>
        <w:rPr>
          <w:rFonts w:eastAsia="仿宋_GB2312"/>
          <w:kern w:val="2"/>
          <w:sz w:val="32"/>
          <w:szCs w:val="32"/>
          <w:lang w:eastAsia="zh-CN"/>
        </w:rPr>
        <w:t>七、加强质量管理。发挥质量强县领导小组办公室作用，引导企业加强全面质量管理；加强品牌培育，鼓励更多企业争创政府质量奖。</w:t>
      </w:r>
    </w:p>
    <w:p>
      <w:pPr>
        <w:pStyle w:val="15"/>
        <w:rPr>
          <w:rFonts w:eastAsia="仿宋_GB2312"/>
          <w:kern w:val="2"/>
          <w:sz w:val="32"/>
          <w:szCs w:val="32"/>
          <w:lang w:eastAsia="zh-CN"/>
        </w:rPr>
      </w:pPr>
      <w:r>
        <w:rPr>
          <w:rFonts w:eastAsia="仿宋_GB2312"/>
          <w:kern w:val="2"/>
          <w:sz w:val="32"/>
          <w:szCs w:val="32"/>
          <w:lang w:eastAsia="zh-CN"/>
        </w:rPr>
        <w:t>八、巩固计量支撑。强化计量监督，推进诚信计量，深化加油机等计量专项整治，以精准的计量、优质的服务让老百姓买的放心、企业检的顺心。</w:t>
      </w:r>
    </w:p>
    <w:p>
      <w:pPr>
        <w:pStyle w:val="15"/>
        <w:rPr>
          <w:rFonts w:eastAsia="仿宋_GB2312"/>
          <w:kern w:val="2"/>
          <w:sz w:val="32"/>
          <w:szCs w:val="32"/>
          <w:lang w:eastAsia="zh-CN"/>
        </w:rPr>
      </w:pPr>
      <w:r>
        <w:rPr>
          <w:rFonts w:eastAsia="仿宋_GB2312"/>
          <w:kern w:val="2"/>
          <w:sz w:val="32"/>
          <w:szCs w:val="32"/>
          <w:lang w:eastAsia="zh-CN"/>
        </w:rPr>
        <w:t>九、严格产品质量监管。聚焦大气污染防治，开展劣质散煤管控和成品油质量整治行动，助力打赢“蓝天保卫战”。聚焦儿童用品、纺织服装等重点消费品，持续开展儿童和学生用品安全守护行动，保障人身健康安全。</w:t>
      </w:r>
    </w:p>
    <w:p>
      <w:pPr>
        <w:pStyle w:val="15"/>
        <w:rPr>
          <w:rFonts w:eastAsia="仿宋_GB2312"/>
          <w:kern w:val="2"/>
          <w:sz w:val="32"/>
          <w:szCs w:val="32"/>
          <w:lang w:eastAsia="zh-CN"/>
        </w:rPr>
      </w:pPr>
      <w:r>
        <w:rPr>
          <w:rFonts w:eastAsia="仿宋_GB2312"/>
          <w:kern w:val="2"/>
          <w:sz w:val="32"/>
          <w:szCs w:val="32"/>
          <w:lang w:eastAsia="zh-CN"/>
        </w:rPr>
        <w:t>十、促进知识产权保护。加快构建知识产权保护工作格局，鼓励企业积极申报、引进各类专利，严厉打击商标、专利、地理标志侵权假冒违法行为。</w:t>
      </w:r>
    </w:p>
    <w:p>
      <w:pPr>
        <w:pStyle w:val="15"/>
        <w:rPr>
          <w:rFonts w:eastAsia="仿宋_GB2312"/>
          <w:kern w:val="2"/>
          <w:sz w:val="32"/>
          <w:szCs w:val="32"/>
          <w:lang w:eastAsia="zh-CN"/>
        </w:rPr>
      </w:pPr>
      <w:r>
        <w:rPr>
          <w:rFonts w:eastAsia="仿宋_GB2312"/>
          <w:kern w:val="2"/>
          <w:sz w:val="32"/>
          <w:szCs w:val="32"/>
          <w:lang w:eastAsia="zh-CN"/>
        </w:rPr>
        <w:t>十一、加强食品安全监管。加强对食品冷链、批发市场、连锁超市、校园周边、农村市场等重点区域和食盐、保健食品、婴幼儿乳粉及辅助食品等重点食品销售安全监管，抓好大型食品经营企业、小作坊、小摊贩、小餐饮的日常监管，按照风险等级确定全年的监督检查频次，做到日常监督检查覆盖率达100%。加大对128家有冷库单位的冷链食品管控力度。持续推进“明厨亮灶”和量化等级评定提档升级，在 2021年基础上再创建2-3家省级校园食品安全标准食堂。全年完成2000批次以上食品抽检任务。全力做好重大活动食品安全保障，消除安全隐患，防范发生重大食品安全事故。</w:t>
      </w:r>
    </w:p>
    <w:p>
      <w:pPr>
        <w:pStyle w:val="15"/>
        <w:rPr>
          <w:rFonts w:eastAsia="仿宋_GB2312"/>
          <w:kern w:val="2"/>
          <w:sz w:val="32"/>
          <w:szCs w:val="32"/>
          <w:lang w:eastAsia="zh-CN"/>
        </w:rPr>
      </w:pPr>
      <w:r>
        <w:rPr>
          <w:rFonts w:eastAsia="仿宋_GB2312"/>
          <w:kern w:val="2"/>
          <w:sz w:val="32"/>
          <w:szCs w:val="32"/>
          <w:lang w:eastAsia="zh-CN"/>
        </w:rPr>
        <w:t>十二、加强药品安全监管。加强对中药饮片，非法渠道购进、销售、使用假劣及过期药品，超范围经营药品，违规销售使用终止妊娠处方药、回收药品等突出问题和含特殊药品复方制剂、疫苗、血液制品、特殊管理药品等的监管力度，及时消除安全隐患。组织开展药品、医疗器械抽检。</w:t>
      </w:r>
    </w:p>
    <w:p>
      <w:pPr>
        <w:pStyle w:val="15"/>
        <w:rPr>
          <w:rFonts w:eastAsia="仿宋_GB2312"/>
          <w:kern w:val="2"/>
          <w:sz w:val="32"/>
          <w:szCs w:val="32"/>
          <w:lang w:eastAsia="zh-CN"/>
        </w:rPr>
      </w:pPr>
      <w:r>
        <w:rPr>
          <w:rFonts w:eastAsia="仿宋_GB2312"/>
          <w:kern w:val="2"/>
          <w:sz w:val="32"/>
          <w:szCs w:val="32"/>
          <w:lang w:eastAsia="zh-CN"/>
        </w:rPr>
        <w:t>十三、加强特种设备安全监管。强化特种设备安全主体责任落实。以起重机械、场内机动车以及人员密集场所电梯、气瓶等特种设备为重点，开展隐患排查集中整治，消除安全隐患。深化液化石油气钢瓶信息化成果，100%实现信息化监管。广泛开展宣传和教育培训活动，努力营造良好的安全氛围。</w:t>
      </w:r>
    </w:p>
    <w:p>
      <w:pPr>
        <w:pStyle w:val="15"/>
        <w:rPr>
          <w:rFonts w:eastAsia="仿宋_GB2312"/>
          <w:kern w:val="2"/>
          <w:sz w:val="32"/>
          <w:szCs w:val="32"/>
          <w:lang w:eastAsia="zh-CN"/>
        </w:rPr>
      </w:pPr>
      <w:r>
        <w:rPr>
          <w:rFonts w:eastAsia="仿宋_GB2312"/>
          <w:kern w:val="2"/>
          <w:sz w:val="32"/>
          <w:szCs w:val="32"/>
          <w:lang w:eastAsia="zh-CN"/>
        </w:rPr>
        <w:t>十四、加大综合执法力度。围绕百姓日常消费生活的重点热点领域和问题，针对食品药品、特种设备、虚假广告、房地产等方面，加大监督执法力度。查处案件和上级转办案件办结率达到100%。</w:t>
      </w:r>
    </w:p>
    <w:p>
      <w:pPr>
        <w:pStyle w:val="15"/>
        <w:rPr>
          <w:rFonts w:eastAsia="仿宋_GB2312"/>
          <w:kern w:val="2"/>
          <w:sz w:val="32"/>
          <w:szCs w:val="32"/>
          <w:lang w:eastAsia="zh-CN"/>
        </w:rPr>
      </w:pPr>
      <w:r>
        <w:rPr>
          <w:rFonts w:eastAsia="仿宋_GB2312"/>
          <w:kern w:val="2"/>
          <w:sz w:val="32"/>
          <w:szCs w:val="32"/>
          <w:lang w:eastAsia="zh-CN"/>
        </w:rPr>
        <w:t>十五、深化区域产品质量整治。持续开展家具产品质量整治提升，对制售假冒伪劣产品、无证无照生产、一般质量问题分类施策,打掉一批、关停一批，淘汰一批、规范一批、提高一批，促进我县家具产业转型升级、健康发展。</w:t>
      </w:r>
    </w:p>
    <w:p>
      <w:pPr>
        <w:pStyle w:val="15"/>
        <w:rPr>
          <w:rFonts w:eastAsia="仿宋_GB2312"/>
          <w:kern w:val="2"/>
          <w:sz w:val="32"/>
          <w:szCs w:val="32"/>
          <w:lang w:eastAsia="zh-CN"/>
        </w:rPr>
      </w:pPr>
      <w:r>
        <w:rPr>
          <w:rFonts w:eastAsia="仿宋_GB2312"/>
          <w:kern w:val="2"/>
          <w:sz w:val="32"/>
          <w:szCs w:val="32"/>
          <w:lang w:eastAsia="zh-CN"/>
        </w:rPr>
        <w:t>十六、加强依法行政工作。深化落实行政执法“三项制度”，加强行政执法案件全过程监督管理，推进行政执法规范化建设，落实行政执法责任制和责任追究制。</w:t>
      </w:r>
    </w:p>
    <w:p>
      <w:pPr>
        <w:pStyle w:val="15"/>
        <w:rPr>
          <w:rFonts w:eastAsia="仿宋_GB2312"/>
          <w:kern w:val="2"/>
          <w:sz w:val="32"/>
          <w:szCs w:val="32"/>
          <w:lang w:eastAsia="zh-CN"/>
        </w:rPr>
      </w:pPr>
      <w:r>
        <w:rPr>
          <w:rFonts w:eastAsia="仿宋_GB2312"/>
          <w:kern w:val="2"/>
          <w:sz w:val="32"/>
          <w:szCs w:val="32"/>
          <w:lang w:eastAsia="zh-CN"/>
        </w:rPr>
        <w:t>十七、深入推进基层建设提升工程。继续推动人财物向基层股室分局倾斜，加大执法装备配备力度，改善分局办公条件。</w:t>
      </w:r>
    </w:p>
    <w:p>
      <w:pPr>
        <w:pStyle w:val="15"/>
        <w:rPr>
          <w:rFonts w:eastAsia="仿宋_GB2312"/>
          <w:kern w:val="2"/>
          <w:sz w:val="32"/>
          <w:szCs w:val="32"/>
          <w:lang w:eastAsia="zh-CN"/>
        </w:rPr>
      </w:pPr>
      <w:r>
        <w:rPr>
          <w:rFonts w:eastAsia="仿宋_GB2312"/>
          <w:kern w:val="2"/>
          <w:sz w:val="32"/>
          <w:szCs w:val="32"/>
          <w:lang w:eastAsia="zh-CN"/>
        </w:rPr>
        <w:t>十八、加强干部队伍建设。强化理论学习，严格落实党组中心组理论学习的有关制度和要求，切实用党的最新理论武装头脑、指导实践、推动工作。加强党风廉政建设，召开党风廉政建设专题会议，逐级签订党风廉政建设责任书，全面落实“两个责任”“一岗双责”。通过上党课、党员活动日、市场监管大讲堂等形式，加强党员日常学习教育，促进党建工作与履责尽责有机融合。定期开展谈心谈话，发布警示提醒，使全体干部职工自觉抵制各种错误思想的侵蚀。加强意识形态建设，通过组织学习、新闻信息宣传等方式加强舆情管控，向社会展示积极向上的市场监管形象。扎实开展文明单位创建，大力弘扬和践行社会主义核心价值观，不断推动市场监管事业发展。</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2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71"/>
        <w:gridCol w:w="993"/>
        <w:gridCol w:w="1417"/>
        <w:gridCol w:w="1418"/>
        <w:gridCol w:w="4677"/>
        <w:gridCol w:w="567"/>
        <w:gridCol w:w="567"/>
        <w:gridCol w:w="567"/>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7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9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41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41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46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70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81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71" w:type="dxa"/>
            <w:vMerge w:val="continue"/>
            <w:tcBorders>
              <w:tl2br w:val="nil"/>
              <w:tr2bl w:val="nil"/>
            </w:tcBorders>
            <w:vAlign w:val="center"/>
          </w:tcPr>
          <w:p/>
        </w:tc>
        <w:tc>
          <w:tcPr>
            <w:tcW w:w="993" w:type="dxa"/>
            <w:vMerge w:val="continue"/>
            <w:tcBorders>
              <w:tl2br w:val="nil"/>
              <w:tr2bl w:val="nil"/>
            </w:tcBorders>
            <w:vAlign w:val="center"/>
          </w:tcPr>
          <w:p/>
        </w:tc>
        <w:tc>
          <w:tcPr>
            <w:tcW w:w="1417" w:type="dxa"/>
            <w:vMerge w:val="continue"/>
            <w:tcBorders>
              <w:tl2br w:val="nil"/>
              <w:tr2bl w:val="nil"/>
            </w:tcBorders>
            <w:vAlign w:val="center"/>
          </w:tcPr>
          <w:p/>
        </w:tc>
        <w:tc>
          <w:tcPr>
            <w:tcW w:w="1418" w:type="dxa"/>
            <w:vMerge w:val="continue"/>
            <w:tcBorders>
              <w:tl2br w:val="nil"/>
              <w:tr2bl w:val="nil"/>
            </w:tcBorders>
            <w:vAlign w:val="center"/>
          </w:tcPr>
          <w:p/>
        </w:tc>
        <w:tc>
          <w:tcPr>
            <w:tcW w:w="4677" w:type="dxa"/>
            <w:vMerge w:val="continue"/>
            <w:tcBorders>
              <w:tl2br w:val="nil"/>
              <w:tr2bl w:val="nil"/>
            </w:tcBorders>
            <w:vAlign w:val="center"/>
          </w:tcP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81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71"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99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重点工作实际完成率</w:t>
            </w:r>
          </w:p>
        </w:tc>
        <w:tc>
          <w:tcPr>
            <w:tcW w:w="141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重点工作实际完成率</w:t>
            </w:r>
          </w:p>
        </w:tc>
        <w:tc>
          <w:tcPr>
            <w:tcW w:w="46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重点工作实际完成率大于等于90%为优，大于等于80%为良，大于等于70%为中，小于70%为差</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6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90</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81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1" w:type="dxa"/>
            <w:vMerge w:val="continue"/>
            <w:tcBorders>
              <w:tl2br w:val="nil"/>
              <w:tr2bl w:val="nil"/>
            </w:tcBorders>
            <w:vAlign w:val="center"/>
          </w:tcPr>
          <w:p/>
        </w:tc>
        <w:tc>
          <w:tcPr>
            <w:tcW w:w="99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141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重点工作质量达标率</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重点工作质量达标率</w:t>
            </w:r>
          </w:p>
        </w:tc>
        <w:tc>
          <w:tcPr>
            <w:tcW w:w="46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重点工作质量达标率大于等于90%为优，大于等于85%为良，大于等于80%为中，小于80%为差</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6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90</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8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71" w:type="dxa"/>
            <w:vMerge w:val="continue"/>
            <w:tcBorders>
              <w:tl2br w:val="nil"/>
              <w:tr2bl w:val="nil"/>
            </w:tcBorders>
            <w:vAlign w:val="center"/>
          </w:tcPr>
          <w:p/>
        </w:tc>
        <w:tc>
          <w:tcPr>
            <w:tcW w:w="99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141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重点工作完成及时率</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重点工作完成及时率</w:t>
            </w:r>
          </w:p>
        </w:tc>
        <w:tc>
          <w:tcPr>
            <w:tcW w:w="46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重点工作完成及时率大于等于100%为优，大于等于90%为良，大于等于80%为中，小于80%为差</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6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100</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8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95" w:hRule="atLeast"/>
          <w:jc w:val="center"/>
        </w:trPr>
        <w:tc>
          <w:tcPr>
            <w:tcW w:w="571" w:type="dxa"/>
            <w:vMerge w:val="continue"/>
            <w:tcBorders>
              <w:tl2br w:val="nil"/>
              <w:tr2bl w:val="nil"/>
            </w:tcBorders>
            <w:vAlign w:val="center"/>
          </w:tcPr>
          <w:p/>
        </w:tc>
        <w:tc>
          <w:tcPr>
            <w:tcW w:w="99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141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一般性支出压减率</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一般性支出压减率</w:t>
            </w:r>
          </w:p>
        </w:tc>
        <w:tc>
          <w:tcPr>
            <w:tcW w:w="46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一般性支出压减率大于等于0%为优，大于-10%为良，大于-25%为中，大于-50%为差</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0.00</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8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根据项目申报测算依据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32" w:hRule="atLeast"/>
          <w:jc w:val="center"/>
        </w:trPr>
        <w:tc>
          <w:tcPr>
            <w:tcW w:w="571"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部门效果</w:t>
            </w:r>
          </w:p>
          <w:p>
            <w:pPr>
              <w:adjustRightInd w:val="0"/>
              <w:snapToGrid w:val="0"/>
              <w:jc w:val="center"/>
              <w:rPr>
                <w:rFonts w:ascii="方正书宋_GBK" w:eastAsia="方正书宋_GBK"/>
              </w:rPr>
            </w:pPr>
          </w:p>
        </w:tc>
        <w:tc>
          <w:tcPr>
            <w:tcW w:w="99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可持续影响指标</w:t>
            </w: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可持续影响时效</w:t>
            </w:r>
          </w:p>
        </w:tc>
        <w:tc>
          <w:tcPr>
            <w:tcW w:w="141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可持续影响时效</w:t>
            </w:r>
          </w:p>
        </w:tc>
        <w:tc>
          <w:tcPr>
            <w:tcW w:w="46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可持续影响时效大于等于1年为优，小于1年为差</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年</w:t>
            </w:r>
          </w:p>
        </w:tc>
        <w:tc>
          <w:tcPr>
            <w:tcW w:w="181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根据项目预期达到的效果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1" w:type="dxa"/>
            <w:vMerge w:val="continue"/>
            <w:tcBorders>
              <w:tl2br w:val="nil"/>
              <w:tr2bl w:val="nil"/>
            </w:tcBorders>
            <w:vAlign w:val="center"/>
          </w:tcPr>
          <w:p/>
        </w:tc>
        <w:tc>
          <w:tcPr>
            <w:tcW w:w="99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社会效益指标</w:t>
            </w:r>
          </w:p>
        </w:tc>
        <w:tc>
          <w:tcPr>
            <w:tcW w:w="141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市场秩序稳定性</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市场秩序稳定性</w:t>
            </w:r>
          </w:p>
        </w:tc>
        <w:tc>
          <w:tcPr>
            <w:tcW w:w="46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市场秩序稳定性大于等于90%为优，大于等于80%为良，大于等于70%为中，小于70%为差</w:t>
            </w:r>
          </w:p>
        </w:tc>
        <w:tc>
          <w:tcPr>
            <w:tcW w:w="5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5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90</w:t>
            </w:r>
          </w:p>
        </w:tc>
        <w:tc>
          <w:tcPr>
            <w:tcW w:w="5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百分比</w:t>
            </w:r>
          </w:p>
        </w:tc>
        <w:tc>
          <w:tcPr>
            <w:tcW w:w="18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根据项目申报测算依据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1" w:type="dxa"/>
            <w:vMerge w:val="continue"/>
            <w:tcBorders>
              <w:tl2br w:val="nil"/>
              <w:tr2bl w:val="nil"/>
            </w:tcBorders>
            <w:vAlign w:val="center"/>
          </w:tcPr>
          <w:p/>
        </w:tc>
        <w:tc>
          <w:tcPr>
            <w:tcW w:w="99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41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群众满意数量占总数的比例</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群众满意数量占总数的比例</w:t>
            </w:r>
          </w:p>
        </w:tc>
        <w:tc>
          <w:tcPr>
            <w:tcW w:w="46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群众满意度大于等于85%为优，大于75%为良，大于65%为中，小于等于65%为差</w:t>
            </w:r>
          </w:p>
        </w:tc>
        <w:tc>
          <w:tcPr>
            <w:tcW w:w="5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56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85</w:t>
            </w:r>
          </w:p>
        </w:tc>
        <w:tc>
          <w:tcPr>
            <w:tcW w:w="5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百分比</w:t>
            </w:r>
          </w:p>
        </w:tc>
        <w:tc>
          <w:tcPr>
            <w:tcW w:w="18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根据项目预期达到的效果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71" w:type="dxa"/>
            <w:vMerge w:val="continue"/>
            <w:tcBorders>
              <w:tl2br w:val="nil"/>
              <w:tr2bl w:val="nil"/>
            </w:tcBorders>
            <w:vAlign w:val="center"/>
          </w:tcPr>
          <w:p/>
        </w:tc>
        <w:tc>
          <w:tcPr>
            <w:tcW w:w="993" w:type="dxa"/>
            <w:tcBorders>
              <w:tl2br w:val="nil"/>
              <w:tr2bl w:val="nil"/>
            </w:tcBorders>
            <w:vAlign w:val="center"/>
          </w:tcPr>
          <w:p>
            <w:pPr>
              <w:adjustRightInd w:val="0"/>
              <w:snapToGrid w:val="0"/>
              <w:jc w:val="center"/>
              <w:rPr>
                <w:rFonts w:ascii="方正书宋_GBK" w:eastAsia="方正书宋_GBK"/>
              </w:rPr>
            </w:pPr>
          </w:p>
        </w:tc>
        <w:tc>
          <w:tcPr>
            <w:tcW w:w="1417" w:type="dxa"/>
            <w:tcBorders>
              <w:tl2br w:val="nil"/>
              <w:tr2bl w:val="nil"/>
            </w:tcBorders>
            <w:noWrap/>
            <w:vAlign w:val="center"/>
          </w:tcPr>
          <w:p>
            <w:pPr>
              <w:widowControl/>
              <w:adjustRightInd w:val="0"/>
              <w:snapToGrid w:val="0"/>
              <w:rPr>
                <w:rFonts w:ascii="方正书宋_GBK" w:eastAsia="方正书宋_GBK"/>
              </w:rPr>
            </w:pPr>
          </w:p>
        </w:tc>
        <w:tc>
          <w:tcPr>
            <w:tcW w:w="1418" w:type="dxa"/>
            <w:tcBorders>
              <w:tl2br w:val="nil"/>
              <w:tr2bl w:val="nil"/>
            </w:tcBorders>
            <w:noWrap/>
            <w:vAlign w:val="center"/>
          </w:tcPr>
          <w:p>
            <w:pPr>
              <w:widowControl/>
              <w:adjustRightInd w:val="0"/>
              <w:snapToGrid w:val="0"/>
              <w:rPr>
                <w:rFonts w:ascii="方正书宋_GBK" w:eastAsia="方正书宋_GBK"/>
              </w:rPr>
            </w:pPr>
          </w:p>
        </w:tc>
        <w:tc>
          <w:tcPr>
            <w:tcW w:w="4677" w:type="dxa"/>
            <w:tcBorders>
              <w:tl2br w:val="nil"/>
              <w:tr2bl w:val="nil"/>
            </w:tcBorders>
            <w:noWrap/>
          </w:tcPr>
          <w:p>
            <w:pPr>
              <w:widowControl/>
              <w:adjustRightInd w:val="0"/>
              <w:snapToGrid w:val="0"/>
              <w:rPr>
                <w:rFonts w:ascii="方正书宋_GBK" w:eastAsia="方正书宋_GBK"/>
              </w:rPr>
            </w:pPr>
          </w:p>
        </w:tc>
        <w:tc>
          <w:tcPr>
            <w:tcW w:w="567" w:type="dxa"/>
            <w:tcBorders>
              <w:tl2br w:val="nil"/>
              <w:tr2bl w:val="nil"/>
            </w:tcBorders>
            <w:vAlign w:val="center"/>
          </w:tcPr>
          <w:p>
            <w:pPr>
              <w:widowControl/>
              <w:adjustRightInd w:val="0"/>
              <w:snapToGrid w:val="0"/>
              <w:jc w:val="center"/>
              <w:rPr>
                <w:rFonts w:ascii="方正书宋_GBK" w:eastAsia="方正书宋_GBK"/>
              </w:rPr>
            </w:pPr>
          </w:p>
        </w:tc>
        <w:tc>
          <w:tcPr>
            <w:tcW w:w="567" w:type="dxa"/>
            <w:tcBorders>
              <w:tl2br w:val="nil"/>
              <w:tr2bl w:val="nil"/>
            </w:tcBorders>
            <w:vAlign w:val="center"/>
          </w:tcPr>
          <w:p>
            <w:pPr>
              <w:widowControl/>
              <w:adjustRightInd w:val="0"/>
              <w:snapToGrid w:val="0"/>
              <w:jc w:val="center"/>
              <w:rPr>
                <w:rFonts w:ascii="方正书宋_GBK" w:eastAsia="方正书宋_GBK"/>
              </w:rPr>
            </w:pPr>
          </w:p>
        </w:tc>
        <w:tc>
          <w:tcPr>
            <w:tcW w:w="567" w:type="dxa"/>
            <w:tcBorders>
              <w:tl2br w:val="nil"/>
              <w:tr2bl w:val="nil"/>
            </w:tcBorders>
            <w:vAlign w:val="center"/>
          </w:tcPr>
          <w:p>
            <w:pPr>
              <w:widowControl/>
              <w:adjustRightInd w:val="0"/>
              <w:snapToGrid w:val="0"/>
              <w:jc w:val="center"/>
              <w:rPr>
                <w:rFonts w:ascii="方正书宋_GBK" w:eastAsia="方正书宋_GBK"/>
              </w:rPr>
            </w:pPr>
          </w:p>
        </w:tc>
        <w:tc>
          <w:tcPr>
            <w:tcW w:w="1818"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71" w:type="dxa"/>
            <w:vMerge w:val="continue"/>
            <w:tcBorders>
              <w:tl2br w:val="nil"/>
              <w:tr2bl w:val="nil"/>
            </w:tcBorders>
            <w:vAlign w:val="center"/>
          </w:tcPr>
          <w:p/>
        </w:tc>
        <w:tc>
          <w:tcPr>
            <w:tcW w:w="993" w:type="dxa"/>
            <w:tcBorders>
              <w:tl2br w:val="nil"/>
              <w:tr2bl w:val="nil"/>
            </w:tcBorders>
            <w:vAlign w:val="center"/>
          </w:tcPr>
          <w:p>
            <w:pPr>
              <w:widowControl/>
              <w:adjustRightInd w:val="0"/>
              <w:snapToGrid w:val="0"/>
              <w:jc w:val="center"/>
              <w:rPr>
                <w:rFonts w:ascii="方正书宋_GBK" w:eastAsia="方正书宋_GBK"/>
              </w:rPr>
            </w:pPr>
          </w:p>
        </w:tc>
        <w:tc>
          <w:tcPr>
            <w:tcW w:w="1417" w:type="dxa"/>
            <w:tcBorders>
              <w:tl2br w:val="nil"/>
              <w:tr2bl w:val="nil"/>
            </w:tcBorders>
            <w:noWrap/>
            <w:vAlign w:val="center"/>
          </w:tcPr>
          <w:p>
            <w:pPr>
              <w:widowControl/>
              <w:adjustRightInd w:val="0"/>
              <w:snapToGrid w:val="0"/>
              <w:rPr>
                <w:rFonts w:ascii="方正书宋_GBK" w:eastAsia="方正书宋_GBK"/>
              </w:rPr>
            </w:pPr>
          </w:p>
        </w:tc>
        <w:tc>
          <w:tcPr>
            <w:tcW w:w="1418" w:type="dxa"/>
            <w:tcBorders>
              <w:tl2br w:val="nil"/>
              <w:tr2bl w:val="nil"/>
            </w:tcBorders>
            <w:noWrap/>
            <w:vAlign w:val="center"/>
          </w:tcPr>
          <w:p>
            <w:pPr>
              <w:widowControl/>
              <w:adjustRightInd w:val="0"/>
              <w:snapToGrid w:val="0"/>
              <w:rPr>
                <w:rFonts w:ascii="方正书宋_GBK" w:eastAsia="方正书宋_GBK"/>
              </w:rPr>
            </w:pPr>
          </w:p>
        </w:tc>
        <w:tc>
          <w:tcPr>
            <w:tcW w:w="4677" w:type="dxa"/>
            <w:tcBorders>
              <w:tl2br w:val="nil"/>
              <w:tr2bl w:val="nil"/>
            </w:tcBorders>
            <w:noWrap/>
          </w:tcPr>
          <w:p>
            <w:pPr>
              <w:widowControl/>
              <w:adjustRightInd w:val="0"/>
              <w:snapToGrid w:val="0"/>
              <w:rPr>
                <w:rFonts w:ascii="方正书宋_GBK" w:eastAsia="方正书宋_GBK"/>
              </w:rPr>
            </w:pPr>
          </w:p>
        </w:tc>
        <w:tc>
          <w:tcPr>
            <w:tcW w:w="567" w:type="dxa"/>
            <w:tcBorders>
              <w:tl2br w:val="nil"/>
              <w:tr2bl w:val="nil"/>
            </w:tcBorders>
            <w:vAlign w:val="center"/>
          </w:tcPr>
          <w:p>
            <w:pPr>
              <w:widowControl/>
              <w:adjustRightInd w:val="0"/>
              <w:snapToGrid w:val="0"/>
              <w:rPr>
                <w:rFonts w:ascii="方正书宋_GBK" w:eastAsia="方正书宋_GBK"/>
              </w:rPr>
            </w:pPr>
          </w:p>
        </w:tc>
        <w:tc>
          <w:tcPr>
            <w:tcW w:w="567" w:type="dxa"/>
            <w:tcBorders>
              <w:tl2br w:val="nil"/>
              <w:tr2bl w:val="nil"/>
            </w:tcBorders>
            <w:vAlign w:val="center"/>
          </w:tcPr>
          <w:p>
            <w:pPr>
              <w:widowControl/>
              <w:adjustRightInd w:val="0"/>
              <w:snapToGrid w:val="0"/>
              <w:rPr>
                <w:rFonts w:ascii="方正书宋_GBK" w:eastAsia="方正书宋_GBK"/>
              </w:rPr>
            </w:pPr>
          </w:p>
        </w:tc>
        <w:tc>
          <w:tcPr>
            <w:tcW w:w="567" w:type="dxa"/>
            <w:tcBorders>
              <w:tl2br w:val="nil"/>
              <w:tr2bl w:val="nil"/>
            </w:tcBorders>
            <w:vAlign w:val="center"/>
          </w:tcPr>
          <w:p>
            <w:pPr>
              <w:widowControl/>
              <w:adjustRightInd w:val="0"/>
              <w:snapToGrid w:val="0"/>
              <w:rPr>
                <w:rFonts w:ascii="方正书宋_GBK" w:eastAsia="方正书宋_GBK"/>
              </w:rPr>
            </w:pPr>
          </w:p>
        </w:tc>
        <w:tc>
          <w:tcPr>
            <w:tcW w:w="1818" w:type="dxa"/>
            <w:tcBorders>
              <w:tl2br w:val="nil"/>
              <w:tr2bl w:val="nil"/>
            </w:tcBorders>
            <w:vAlign w:val="center"/>
          </w:tcPr>
          <w:p>
            <w:pPr>
              <w:widowControl/>
              <w:adjustRightInd w:val="0"/>
              <w:snapToGrid w:val="0"/>
              <w:rPr>
                <w:rFonts w:ascii="方正书宋_GBK" w:eastAsia="方正书宋_GBK"/>
              </w:rPr>
            </w:pPr>
          </w:p>
        </w:tc>
      </w:tr>
    </w:tbl>
    <w:p>
      <w:pPr>
        <w:widowControl/>
        <w:jc w:val="left"/>
        <w:rPr>
          <w:rFonts w:ascii="仿宋_GB2312" w:eastAsia="仿宋_GB2312" w:cs="Times New Roman"/>
          <w:sz w:val="32"/>
          <w:szCs w:val="32"/>
        </w:rPr>
        <w:sectPr>
          <w:pgSz w:w="16840" w:h="11900" w:orient="landscape"/>
          <w:pgMar w:top="1304" w:right="1134" w:bottom="1304" w:left="1984" w:header="720" w:footer="720" w:gutter="0"/>
          <w:cols w:space="720" w:num="1"/>
          <w:docGrid w:linePitch="286" w:charSpace="0"/>
        </w:sectPr>
      </w:pPr>
      <w:r>
        <w:rPr>
          <w:rFonts w:ascii="仿宋_GB2312" w:eastAsia="仿宋_GB2312" w:cs="Times New Roman"/>
          <w:sz w:val="32"/>
          <w:szCs w:val="32"/>
        </w:rPr>
        <w:br w:type="page"/>
      </w:r>
    </w:p>
    <w:p>
      <w:pPr>
        <w:widowControl/>
        <w:jc w:val="lef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outlineLvl w:val="3"/>
      </w:pPr>
      <w:bookmarkStart w:id="0" w:name="_Toc_4_4_0000000004"/>
      <w:r>
        <w:rPr>
          <w:rFonts w:ascii="方正仿宋_GBK" w:hAnsi="方正仿宋_GBK" w:eastAsia="方正仿宋_GBK" w:cs="方正仿宋_GBK"/>
          <w:color w:val="000000"/>
          <w:sz w:val="28"/>
        </w:rPr>
        <w:t>1.经费补助绩效目标表</w:t>
      </w:r>
      <w:bookmarkEnd w:id="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13102422P00782310001X</w:t>
            </w:r>
          </w:p>
        </w:tc>
        <w:tc>
          <w:tcPr>
            <w:tcW w:w="1327" w:type="dxa"/>
            <w:vAlign w:val="center"/>
          </w:tcPr>
          <w:p>
            <w:pPr>
              <w:pStyle w:val="18"/>
            </w:pPr>
            <w:r>
              <w:t>项目名称</w:t>
            </w:r>
          </w:p>
        </w:tc>
        <w:tc>
          <w:tcPr>
            <w:tcW w:w="3981" w:type="dxa"/>
            <w:gridSpan w:val="3"/>
            <w:vAlign w:val="center"/>
          </w:tcPr>
          <w:p>
            <w:pPr>
              <w:pStyle w:val="19"/>
            </w:pPr>
            <w:r>
              <w:t>经费补助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690.00</w:t>
            </w:r>
          </w:p>
        </w:tc>
        <w:tc>
          <w:tcPr>
            <w:tcW w:w="1327" w:type="dxa"/>
            <w:vAlign w:val="center"/>
          </w:tcPr>
          <w:p>
            <w:pPr>
              <w:pStyle w:val="18"/>
            </w:pPr>
            <w:r>
              <w:t>其中：财政    资金</w:t>
            </w:r>
          </w:p>
        </w:tc>
        <w:tc>
          <w:tcPr>
            <w:tcW w:w="1327" w:type="dxa"/>
            <w:vAlign w:val="center"/>
          </w:tcPr>
          <w:p>
            <w:pPr>
              <w:pStyle w:val="19"/>
            </w:pPr>
            <w:r>
              <w:t>690.00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及时足额准确的发放人员工资，按时缴纳各类保险，保证机关日常业务的正常开展.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20%</w:t>
            </w:r>
          </w:p>
        </w:tc>
        <w:tc>
          <w:tcPr>
            <w:tcW w:w="1327" w:type="dxa"/>
            <w:vAlign w:val="center"/>
          </w:tcPr>
          <w:p>
            <w:pPr>
              <w:pStyle w:val="20"/>
            </w:pPr>
            <w:r>
              <w:t>50%</w:t>
            </w:r>
          </w:p>
        </w:tc>
        <w:tc>
          <w:tcPr>
            <w:tcW w:w="1327" w:type="dxa"/>
            <w:vAlign w:val="center"/>
          </w:tcPr>
          <w:p>
            <w:pPr>
              <w:pStyle w:val="20"/>
            </w:pPr>
            <w:r>
              <w:t>80%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1.通过项目的开展，保障人员稳定，正常履行部门职能，维护市场秩序，服务地方经济。</w:t>
            </w:r>
          </w:p>
          <w:p>
            <w:pPr>
              <w:pStyle w:val="19"/>
            </w:pPr>
            <w:r>
              <w:t>2.通过项目的开展，及时足额准确的发放人员工资，按时缴纳各类保险，保证机关日常业务的正常开展，健全长效管理机制，使人员对项目的满意度达到90%以上。</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发放工资及福利人数</w:t>
            </w:r>
          </w:p>
        </w:tc>
        <w:tc>
          <w:tcPr>
            <w:tcW w:w="2654" w:type="dxa"/>
            <w:vAlign w:val="center"/>
          </w:tcPr>
          <w:p>
            <w:pPr>
              <w:pStyle w:val="19"/>
            </w:pPr>
            <w:r>
              <w:t>向预算外人员、人事代理人员及劳务派遣人员支付工资福利的人数</w:t>
            </w:r>
          </w:p>
        </w:tc>
        <w:tc>
          <w:tcPr>
            <w:tcW w:w="1327" w:type="dxa"/>
            <w:vAlign w:val="center"/>
          </w:tcPr>
          <w:p>
            <w:pPr>
              <w:pStyle w:val="19"/>
            </w:pPr>
            <w:r>
              <w:t>≥81人</w:t>
            </w:r>
          </w:p>
        </w:tc>
        <w:tc>
          <w:tcPr>
            <w:tcW w:w="1327" w:type="dxa"/>
            <w:vAlign w:val="center"/>
          </w:tcPr>
          <w:p>
            <w:pPr>
              <w:pStyle w:val="19"/>
            </w:pPr>
            <w:r>
              <w:t>工资福利发放表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发放准确率</w:t>
            </w:r>
          </w:p>
        </w:tc>
        <w:tc>
          <w:tcPr>
            <w:tcW w:w="2654" w:type="dxa"/>
            <w:vAlign w:val="center"/>
          </w:tcPr>
          <w:p>
            <w:pPr>
              <w:pStyle w:val="19"/>
            </w:pPr>
            <w:r>
              <w:t>向预算外人员、人事代理人员及劳务派遣人员支付工资及福利费的准确程度</w:t>
            </w:r>
          </w:p>
        </w:tc>
        <w:tc>
          <w:tcPr>
            <w:tcW w:w="1327" w:type="dxa"/>
            <w:vAlign w:val="center"/>
          </w:tcPr>
          <w:p>
            <w:pPr>
              <w:pStyle w:val="19"/>
            </w:pPr>
            <w:r>
              <w:t>100百分比</w:t>
            </w:r>
          </w:p>
        </w:tc>
        <w:tc>
          <w:tcPr>
            <w:tcW w:w="1327" w:type="dxa"/>
            <w:vAlign w:val="center"/>
          </w:tcPr>
          <w:p>
            <w:pPr>
              <w:pStyle w:val="19"/>
            </w:pPr>
            <w:r>
              <w:t>工资福利发放表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发放及时率</w:t>
            </w:r>
          </w:p>
        </w:tc>
        <w:tc>
          <w:tcPr>
            <w:tcW w:w="2654" w:type="dxa"/>
            <w:vAlign w:val="center"/>
          </w:tcPr>
          <w:p>
            <w:pPr>
              <w:pStyle w:val="19"/>
            </w:pPr>
            <w:r>
              <w:t>及时发放工资福利人数占应发放人数的比率</w:t>
            </w:r>
          </w:p>
        </w:tc>
        <w:tc>
          <w:tcPr>
            <w:tcW w:w="1327" w:type="dxa"/>
            <w:vAlign w:val="center"/>
          </w:tcPr>
          <w:p>
            <w:pPr>
              <w:pStyle w:val="19"/>
            </w:pPr>
            <w:r>
              <w:t>100百分比</w:t>
            </w:r>
          </w:p>
        </w:tc>
        <w:tc>
          <w:tcPr>
            <w:tcW w:w="1327" w:type="dxa"/>
            <w:vAlign w:val="center"/>
          </w:tcPr>
          <w:p>
            <w:pPr>
              <w:pStyle w:val="19"/>
            </w:pPr>
            <w:r>
              <w:t>工资福利发放表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人均成本</w:t>
            </w:r>
          </w:p>
        </w:tc>
        <w:tc>
          <w:tcPr>
            <w:tcW w:w="2654" w:type="dxa"/>
            <w:vAlign w:val="center"/>
          </w:tcPr>
          <w:p>
            <w:pPr>
              <w:pStyle w:val="19"/>
            </w:pPr>
            <w:r>
              <w:rPr>
                <w:rFonts w:hint="eastAsia"/>
                <w:lang w:eastAsia="zh-CN"/>
              </w:rPr>
              <w:t>年</w:t>
            </w:r>
            <w:r>
              <w:t>人均工资及福利费标准的控制情况</w:t>
            </w:r>
          </w:p>
        </w:tc>
        <w:tc>
          <w:tcPr>
            <w:tcW w:w="1327" w:type="dxa"/>
            <w:vAlign w:val="center"/>
          </w:tcPr>
          <w:p>
            <w:pPr>
              <w:pStyle w:val="19"/>
            </w:pPr>
            <w:r>
              <w:t>≤9.88万元</w:t>
            </w:r>
          </w:p>
        </w:tc>
        <w:tc>
          <w:tcPr>
            <w:tcW w:w="1327" w:type="dxa"/>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机关正常运转天数</w:t>
            </w:r>
          </w:p>
        </w:tc>
        <w:tc>
          <w:tcPr>
            <w:tcW w:w="2654" w:type="dxa"/>
            <w:vAlign w:val="center"/>
          </w:tcPr>
          <w:p>
            <w:pPr>
              <w:pStyle w:val="19"/>
            </w:pPr>
            <w:r>
              <w:t>保障机关单位日常业务正常开展的情况</w:t>
            </w:r>
          </w:p>
        </w:tc>
        <w:tc>
          <w:tcPr>
            <w:tcW w:w="1327" w:type="dxa"/>
            <w:vAlign w:val="center"/>
          </w:tcPr>
          <w:p>
            <w:pPr>
              <w:pStyle w:val="19"/>
            </w:pPr>
            <w:r>
              <w:t>365天</w:t>
            </w:r>
          </w:p>
        </w:tc>
        <w:tc>
          <w:tcPr>
            <w:tcW w:w="1327" w:type="dxa"/>
            <w:vAlign w:val="center"/>
          </w:tcPr>
          <w:p>
            <w:pPr>
              <w:pStyle w:val="19"/>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考核项目单位相关管理机制建立健全情况</w:t>
            </w:r>
          </w:p>
        </w:tc>
        <w:tc>
          <w:tcPr>
            <w:tcW w:w="1327" w:type="dxa"/>
            <w:vAlign w:val="center"/>
          </w:tcPr>
          <w:p>
            <w:pPr>
              <w:pStyle w:val="19"/>
            </w:pPr>
            <w:r>
              <w:t>健全</w:t>
            </w:r>
          </w:p>
          <w:p>
            <w:pPr>
              <w:pStyle w:val="19"/>
            </w:pPr>
          </w:p>
        </w:tc>
        <w:tc>
          <w:tcPr>
            <w:tcW w:w="1327" w:type="dxa"/>
            <w:vAlign w:val="center"/>
          </w:tcPr>
          <w:p>
            <w:pPr>
              <w:pStyle w:val="19"/>
            </w:pPr>
            <w: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人员满意度</w:t>
            </w:r>
          </w:p>
        </w:tc>
        <w:tc>
          <w:tcPr>
            <w:tcW w:w="2654" w:type="dxa"/>
            <w:vAlign w:val="center"/>
          </w:tcPr>
          <w:p>
            <w:pPr>
              <w:pStyle w:val="19"/>
            </w:pPr>
            <w:r>
              <w:t>预算外人员、人事代理及劳务派遣人员对项目开展的满意程度</w:t>
            </w:r>
          </w:p>
        </w:tc>
        <w:tc>
          <w:tcPr>
            <w:tcW w:w="1327" w:type="dxa"/>
            <w:vAlign w:val="center"/>
          </w:tcPr>
          <w:p>
            <w:pPr>
              <w:pStyle w:val="19"/>
            </w:pPr>
            <w:r>
              <w:t>≥90百分比</w:t>
            </w:r>
          </w:p>
          <w:p>
            <w:pPr>
              <w:pStyle w:val="19"/>
            </w:pPr>
          </w:p>
        </w:tc>
        <w:tc>
          <w:tcPr>
            <w:tcW w:w="1327" w:type="dxa"/>
            <w:vAlign w:val="center"/>
          </w:tcPr>
          <w:p>
            <w:pPr>
              <w:pStyle w:val="19"/>
            </w:pPr>
            <w:r>
              <w:t>调查问卷</w:t>
            </w:r>
          </w:p>
          <w:p>
            <w:pPr>
              <w:pStyle w:val="19"/>
            </w:pPr>
          </w:p>
        </w:tc>
      </w:tr>
    </w:tbl>
    <w:p>
      <w:pPr>
        <w:sectPr>
          <w:pgSz w:w="11900" w:h="16840"/>
          <w:pgMar w:top="1984" w:right="1304" w:bottom="1134" w:left="1304" w:header="720" w:footer="720" w:gutter="0"/>
          <w:cols w:space="720" w:num="1"/>
          <w:docGrid w:linePitch="286" w:charSpace="0"/>
        </w:sectPr>
      </w:pPr>
    </w:p>
    <w:p>
      <w:pPr>
        <w:ind w:firstLine="560"/>
        <w:outlineLvl w:val="3"/>
        <w:rPr>
          <w:rFonts w:ascii="方正仿宋_GBK" w:hAnsi="方正仿宋_GBK" w:eastAsia="方正仿宋_GBK" w:cs="方正仿宋_GBK"/>
          <w:color w:val="000000"/>
          <w:sz w:val="28"/>
        </w:rPr>
      </w:pPr>
      <w:bookmarkStart w:id="1" w:name="_Toc_4_4_0000000005"/>
    </w:p>
    <w:p>
      <w:pPr>
        <w:ind w:firstLine="560"/>
        <w:outlineLvl w:val="3"/>
      </w:pPr>
      <w:r>
        <w:rPr>
          <w:rFonts w:ascii="方正仿宋_GBK" w:hAnsi="方正仿宋_GBK" w:eastAsia="方正仿宋_GBK" w:cs="方正仿宋_GBK"/>
          <w:color w:val="000000"/>
          <w:sz w:val="28"/>
        </w:rPr>
        <w:t>2.经费补助绩效目标表</w:t>
      </w:r>
      <w:bookmarkEnd w:id="1"/>
    </w:p>
    <w:tbl>
      <w:tblPr>
        <w:tblStyle w:val="8"/>
        <w:tblW w:w="986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90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90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13102422P00782310002H</w:t>
            </w:r>
          </w:p>
        </w:tc>
        <w:tc>
          <w:tcPr>
            <w:tcW w:w="1327" w:type="dxa"/>
            <w:vAlign w:val="center"/>
          </w:tcPr>
          <w:p>
            <w:pPr>
              <w:pStyle w:val="18"/>
            </w:pPr>
            <w:r>
              <w:t>项目名称</w:t>
            </w:r>
          </w:p>
        </w:tc>
        <w:tc>
          <w:tcPr>
            <w:tcW w:w="4557" w:type="dxa"/>
            <w:gridSpan w:val="3"/>
            <w:vAlign w:val="center"/>
          </w:tcPr>
          <w:p>
            <w:pPr>
              <w:pStyle w:val="19"/>
            </w:pPr>
            <w:r>
              <w:t>经费补助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110.00</w:t>
            </w:r>
          </w:p>
        </w:tc>
        <w:tc>
          <w:tcPr>
            <w:tcW w:w="1327" w:type="dxa"/>
            <w:vAlign w:val="center"/>
          </w:tcPr>
          <w:p>
            <w:pPr>
              <w:pStyle w:val="18"/>
            </w:pPr>
            <w:r>
              <w:t>其中：财政    资金</w:t>
            </w:r>
          </w:p>
        </w:tc>
        <w:tc>
          <w:tcPr>
            <w:tcW w:w="1327" w:type="dxa"/>
            <w:vAlign w:val="center"/>
          </w:tcPr>
          <w:p>
            <w:pPr>
              <w:pStyle w:val="19"/>
            </w:pPr>
            <w:r>
              <w:t>110.00</w:t>
            </w:r>
          </w:p>
        </w:tc>
        <w:tc>
          <w:tcPr>
            <w:tcW w:w="1327" w:type="dxa"/>
            <w:vAlign w:val="center"/>
          </w:tcPr>
          <w:p>
            <w:pPr>
              <w:pStyle w:val="18"/>
            </w:pPr>
            <w:r>
              <w:t>其他资金</w:t>
            </w:r>
          </w:p>
        </w:tc>
        <w:tc>
          <w:tcPr>
            <w:tcW w:w="190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538" w:type="dxa"/>
            <w:gridSpan w:val="6"/>
            <w:vAlign w:val="center"/>
          </w:tcPr>
          <w:p>
            <w:pPr>
              <w:pStyle w:val="19"/>
            </w:pPr>
            <w:r>
              <w:t>按照我县经费补助相关政策，结合我单位工作实际，用于我单位自收自支、劳动派遣、人事代理人员、公岗人员工资福利及正常公用经费支出.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3230"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100%</w:t>
            </w:r>
          </w:p>
        </w:tc>
        <w:tc>
          <w:tcPr>
            <w:tcW w:w="1327" w:type="dxa"/>
            <w:vAlign w:val="center"/>
          </w:tcPr>
          <w:p>
            <w:pPr>
              <w:pStyle w:val="20"/>
            </w:pPr>
            <w:r>
              <w:t xml:space="preserve"> </w:t>
            </w:r>
          </w:p>
        </w:tc>
        <w:tc>
          <w:tcPr>
            <w:tcW w:w="1327" w:type="dxa"/>
            <w:vAlign w:val="center"/>
          </w:tcPr>
          <w:p>
            <w:pPr>
              <w:pStyle w:val="20"/>
            </w:pPr>
            <w:r>
              <w:t xml:space="preserve"> </w:t>
            </w:r>
          </w:p>
        </w:tc>
        <w:tc>
          <w:tcPr>
            <w:tcW w:w="3230"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8538" w:type="dxa"/>
            <w:gridSpan w:val="6"/>
            <w:vAlign w:val="center"/>
          </w:tcPr>
          <w:p>
            <w:pPr>
              <w:pStyle w:val="19"/>
            </w:pPr>
            <w:r>
              <w:t>1.通过项目的开展，保障人员稳定，正常履行部门职能，维护市场秩序，服务地方经。</w:t>
            </w:r>
          </w:p>
          <w:p>
            <w:pPr>
              <w:pStyle w:val="19"/>
            </w:pPr>
            <w:r>
              <w:t>2.及时、足额准确的发放人员工资，按时缴纳各类保险，保证机关日常业务的正常干展。</w:t>
            </w:r>
          </w:p>
          <w:p>
            <w:pPr>
              <w:pStyle w:val="19"/>
            </w:pPr>
            <w:r>
              <w:t>3.健全长效管理机制，使人员对项目的满意度达到90%以上。</w:t>
            </w:r>
            <w:r>
              <w:tab/>
            </w:r>
          </w:p>
        </w:tc>
      </w:tr>
    </w:tbl>
    <w:p>
      <w:pPr>
        <w:spacing w:line="2" w:lineRule="exact"/>
        <w:jc w:val="center"/>
      </w:pPr>
      <w:r>
        <w:rPr>
          <w:rFonts w:ascii="方正书宋_GBK" w:hAnsi="方正书宋_GBK" w:eastAsia="方正书宋_GBK" w:cs="方正书宋_GBK"/>
          <w:color w:val="000000"/>
        </w:rPr>
        <w:t xml:space="preserve"> </w:t>
      </w:r>
    </w:p>
    <w:tbl>
      <w:tblPr>
        <w:tblStyle w:val="8"/>
        <w:tblW w:w="988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9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919"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发放工资及福利人数</w:t>
            </w:r>
          </w:p>
        </w:tc>
        <w:tc>
          <w:tcPr>
            <w:tcW w:w="2654" w:type="dxa"/>
            <w:vAlign w:val="center"/>
          </w:tcPr>
          <w:p>
            <w:pPr>
              <w:pStyle w:val="19"/>
            </w:pPr>
            <w:r>
              <w:t>向预算外人员、人事代理人员及劳务派遣人员支付工资福利的人数</w:t>
            </w:r>
          </w:p>
        </w:tc>
        <w:tc>
          <w:tcPr>
            <w:tcW w:w="1327" w:type="dxa"/>
            <w:vAlign w:val="center"/>
          </w:tcPr>
          <w:p>
            <w:pPr>
              <w:pStyle w:val="19"/>
            </w:pPr>
            <w:r>
              <w:t>≥81人</w:t>
            </w:r>
          </w:p>
        </w:tc>
        <w:tc>
          <w:tcPr>
            <w:tcW w:w="1919" w:type="dxa"/>
            <w:vAlign w:val="center"/>
          </w:tcPr>
          <w:p>
            <w:pPr>
              <w:pStyle w:val="19"/>
            </w:pPr>
            <w:r>
              <w:t>工资福利发放表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发放准确率</w:t>
            </w:r>
          </w:p>
        </w:tc>
        <w:tc>
          <w:tcPr>
            <w:tcW w:w="2654" w:type="dxa"/>
            <w:vAlign w:val="center"/>
          </w:tcPr>
          <w:p>
            <w:pPr>
              <w:pStyle w:val="19"/>
            </w:pPr>
            <w:r>
              <w:t>向预算外人员、人事代理人员及劳务派遣人员支付工资及福利费的准确程度</w:t>
            </w:r>
          </w:p>
        </w:tc>
        <w:tc>
          <w:tcPr>
            <w:tcW w:w="1327" w:type="dxa"/>
            <w:vAlign w:val="center"/>
          </w:tcPr>
          <w:p>
            <w:pPr>
              <w:pStyle w:val="19"/>
            </w:pPr>
            <w:r>
              <w:t>100百分比</w:t>
            </w:r>
          </w:p>
        </w:tc>
        <w:tc>
          <w:tcPr>
            <w:tcW w:w="1919" w:type="dxa"/>
            <w:vAlign w:val="center"/>
          </w:tcPr>
          <w:p>
            <w:pPr>
              <w:pStyle w:val="19"/>
            </w:pPr>
            <w:r>
              <w:t>工资福利发放表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发放及时率</w:t>
            </w:r>
          </w:p>
        </w:tc>
        <w:tc>
          <w:tcPr>
            <w:tcW w:w="2654" w:type="dxa"/>
            <w:vAlign w:val="center"/>
          </w:tcPr>
          <w:p>
            <w:pPr>
              <w:pStyle w:val="19"/>
            </w:pPr>
            <w:r>
              <w:t>及时发放工资福利人数占应发放人数的比率</w:t>
            </w:r>
          </w:p>
        </w:tc>
        <w:tc>
          <w:tcPr>
            <w:tcW w:w="1327" w:type="dxa"/>
            <w:vAlign w:val="center"/>
          </w:tcPr>
          <w:p>
            <w:pPr>
              <w:pStyle w:val="19"/>
            </w:pPr>
            <w:r>
              <w:t>100百分比</w:t>
            </w:r>
          </w:p>
        </w:tc>
        <w:tc>
          <w:tcPr>
            <w:tcW w:w="1919" w:type="dxa"/>
            <w:vAlign w:val="center"/>
          </w:tcPr>
          <w:p>
            <w:pPr>
              <w:pStyle w:val="19"/>
            </w:pPr>
            <w:r>
              <w:t>工资福利发放表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人均成本</w:t>
            </w:r>
          </w:p>
        </w:tc>
        <w:tc>
          <w:tcPr>
            <w:tcW w:w="2654" w:type="dxa"/>
            <w:vAlign w:val="center"/>
          </w:tcPr>
          <w:p>
            <w:pPr>
              <w:pStyle w:val="19"/>
            </w:pPr>
            <w:r>
              <w:rPr>
                <w:rFonts w:hint="eastAsia"/>
                <w:lang w:eastAsia="zh-CN"/>
              </w:rPr>
              <w:t>年</w:t>
            </w:r>
            <w:r>
              <w:t>人均工资及福利费标准的控制情况</w:t>
            </w:r>
          </w:p>
        </w:tc>
        <w:tc>
          <w:tcPr>
            <w:tcW w:w="1327" w:type="dxa"/>
            <w:vAlign w:val="center"/>
          </w:tcPr>
          <w:p>
            <w:pPr>
              <w:pStyle w:val="19"/>
            </w:pPr>
            <w:r>
              <w:t>≤9.88万元</w:t>
            </w:r>
          </w:p>
        </w:tc>
        <w:tc>
          <w:tcPr>
            <w:tcW w:w="1919" w:type="dxa"/>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机关正常运转天数</w:t>
            </w:r>
          </w:p>
        </w:tc>
        <w:tc>
          <w:tcPr>
            <w:tcW w:w="2654" w:type="dxa"/>
            <w:vAlign w:val="center"/>
          </w:tcPr>
          <w:p>
            <w:pPr>
              <w:pStyle w:val="19"/>
            </w:pPr>
            <w:r>
              <w:t>保障机关单位日常业务正常开展的情况</w:t>
            </w:r>
          </w:p>
        </w:tc>
        <w:tc>
          <w:tcPr>
            <w:tcW w:w="1327" w:type="dxa"/>
            <w:vAlign w:val="center"/>
          </w:tcPr>
          <w:p>
            <w:pPr>
              <w:pStyle w:val="19"/>
            </w:pPr>
            <w:r>
              <w:t>365天</w:t>
            </w:r>
          </w:p>
        </w:tc>
        <w:tc>
          <w:tcPr>
            <w:tcW w:w="1919" w:type="dxa"/>
            <w:vAlign w:val="center"/>
          </w:tcPr>
          <w:p>
            <w:pPr>
              <w:pStyle w:val="19"/>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考核项目单位相关管理机制建立健全情况</w:t>
            </w:r>
          </w:p>
        </w:tc>
        <w:tc>
          <w:tcPr>
            <w:tcW w:w="1327" w:type="dxa"/>
            <w:vAlign w:val="center"/>
          </w:tcPr>
          <w:p>
            <w:pPr>
              <w:pStyle w:val="19"/>
            </w:pPr>
            <w:r>
              <w:t>健全</w:t>
            </w:r>
          </w:p>
        </w:tc>
        <w:tc>
          <w:tcPr>
            <w:tcW w:w="1919" w:type="dxa"/>
            <w:vAlign w:val="center"/>
          </w:tcPr>
          <w:p>
            <w:pPr>
              <w:pStyle w:val="19"/>
            </w:pPr>
            <w: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人员满意度</w:t>
            </w:r>
          </w:p>
        </w:tc>
        <w:tc>
          <w:tcPr>
            <w:tcW w:w="2654" w:type="dxa"/>
            <w:vAlign w:val="center"/>
          </w:tcPr>
          <w:p>
            <w:pPr>
              <w:pStyle w:val="19"/>
            </w:pPr>
            <w:r>
              <w:t>预算外人员、人事代理人员及劳务派遣人员对项目开展的满意程度</w:t>
            </w:r>
          </w:p>
        </w:tc>
        <w:tc>
          <w:tcPr>
            <w:tcW w:w="1327" w:type="dxa"/>
            <w:vAlign w:val="center"/>
          </w:tcPr>
          <w:p>
            <w:pPr>
              <w:pStyle w:val="19"/>
            </w:pPr>
            <w:r>
              <w:t>≥90百分比</w:t>
            </w:r>
          </w:p>
          <w:p>
            <w:pPr>
              <w:pStyle w:val="19"/>
            </w:pPr>
          </w:p>
        </w:tc>
        <w:tc>
          <w:tcPr>
            <w:tcW w:w="1919" w:type="dxa"/>
            <w:vAlign w:val="center"/>
          </w:tcPr>
          <w:p>
            <w:pPr>
              <w:pStyle w:val="19"/>
            </w:pPr>
            <w:r>
              <w:t>调查问卷</w:t>
            </w:r>
          </w:p>
          <w:p>
            <w:pPr>
              <w:pStyle w:val="19"/>
            </w:pPr>
          </w:p>
        </w:tc>
      </w:tr>
    </w:tbl>
    <w:p>
      <w:pPr>
        <w:sectPr>
          <w:pgSz w:w="11900" w:h="16840"/>
          <w:pgMar w:top="1984" w:right="1304" w:bottom="1134" w:left="1304" w:header="720" w:footer="720" w:gutter="0"/>
          <w:cols w:space="720" w:num="1"/>
        </w:sectPr>
      </w:pPr>
    </w:p>
    <w:p>
      <w:r>
        <w:rPr>
          <w:rFonts w:ascii="方正仿宋_GBK" w:hAnsi="方正仿宋_GBK" w:eastAsia="方正仿宋_GBK" w:cs="方正仿宋_GBK"/>
          <w:color w:val="000000"/>
          <w:sz w:val="28"/>
        </w:rPr>
        <w:t xml:space="preserve"> </w:t>
      </w:r>
      <w:bookmarkStart w:id="2" w:name="_Toc_4_4_0000000006"/>
      <w:r>
        <w:rPr>
          <w:rFonts w:ascii="方正仿宋_GBK" w:hAnsi="方正仿宋_GBK" w:eastAsia="方正仿宋_GBK" w:cs="方正仿宋_GBK"/>
          <w:color w:val="000000"/>
          <w:sz w:val="28"/>
        </w:rPr>
        <w:t>3.产品质量抽检经费绩效目标表</w:t>
      </w:r>
      <w:bookmarkEnd w:id="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13102422P00Y967100028</w:t>
            </w:r>
          </w:p>
        </w:tc>
        <w:tc>
          <w:tcPr>
            <w:tcW w:w="1327" w:type="dxa"/>
            <w:vAlign w:val="center"/>
          </w:tcPr>
          <w:p>
            <w:pPr>
              <w:pStyle w:val="18"/>
            </w:pPr>
            <w:r>
              <w:t>项目名称</w:t>
            </w:r>
          </w:p>
        </w:tc>
        <w:tc>
          <w:tcPr>
            <w:tcW w:w="3981" w:type="dxa"/>
            <w:gridSpan w:val="3"/>
            <w:vAlign w:val="center"/>
          </w:tcPr>
          <w:p>
            <w:pPr>
              <w:pStyle w:val="19"/>
            </w:pPr>
            <w:r>
              <w:t>产品质量抽检经费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80.00</w:t>
            </w:r>
          </w:p>
        </w:tc>
        <w:tc>
          <w:tcPr>
            <w:tcW w:w="1327" w:type="dxa"/>
            <w:vAlign w:val="center"/>
          </w:tcPr>
          <w:p>
            <w:pPr>
              <w:pStyle w:val="18"/>
            </w:pPr>
            <w:r>
              <w:t>其中：财政    资金</w:t>
            </w:r>
          </w:p>
        </w:tc>
        <w:tc>
          <w:tcPr>
            <w:tcW w:w="1327" w:type="dxa"/>
            <w:vAlign w:val="center"/>
          </w:tcPr>
          <w:p>
            <w:pPr>
              <w:pStyle w:val="19"/>
            </w:pPr>
            <w:r>
              <w:t>80.00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用于我县域内成品油及车用尿素抽检以及工业生产资料、消费类产品、农业生产品的抽检服务，从而促进提升我县流通领域成品油及车用尿素等产品质量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20%</w:t>
            </w:r>
          </w:p>
        </w:tc>
        <w:tc>
          <w:tcPr>
            <w:tcW w:w="1327" w:type="dxa"/>
            <w:vAlign w:val="center"/>
          </w:tcPr>
          <w:p>
            <w:pPr>
              <w:pStyle w:val="20"/>
            </w:pPr>
            <w:r>
              <w:t>50%</w:t>
            </w:r>
          </w:p>
        </w:tc>
        <w:tc>
          <w:tcPr>
            <w:tcW w:w="1327" w:type="dxa"/>
            <w:vAlign w:val="center"/>
          </w:tcPr>
          <w:p>
            <w:pPr>
              <w:pStyle w:val="20"/>
            </w:pPr>
            <w:r>
              <w:t>80%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通过项目的开展，促进产品质量整体提升，实现我县流通领域成品油及车用尿素等质量整体提升，降低不合格油品及车用尿素造成的大气污染，有效保障我县人民财产安全和身体健康，加强产品质量监督管理，规范产品质量监督抽查，保护消费者的合法权益。</w:t>
            </w:r>
          </w:p>
          <w:p>
            <w:pPr>
              <w:pStyle w:val="19"/>
            </w:pPr>
            <w:r>
              <w:t>2.通过项目的开展，抽检批次至少530批次以上，成品油覆盖率达到100%，流通领域工业产品品类覆盖率达到95%以上，成本控制在标准以内，成本油抽检合格率至少为90%，消费品监督抽查不合格发现率不超过20%，确保工作及时完成，促进产品质量整体提升。</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586"/>
        <w:gridCol w:w="2395"/>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586" w:type="dxa"/>
            <w:vAlign w:val="center"/>
          </w:tcPr>
          <w:p>
            <w:pPr>
              <w:pStyle w:val="18"/>
            </w:pPr>
            <w:r>
              <w:t>三级指标</w:t>
            </w:r>
          </w:p>
        </w:tc>
        <w:tc>
          <w:tcPr>
            <w:tcW w:w="2395"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586" w:type="dxa"/>
            <w:vAlign w:val="center"/>
          </w:tcPr>
          <w:p>
            <w:pPr>
              <w:pStyle w:val="19"/>
            </w:pPr>
            <w:r>
              <w:t>成品油及尿素抽检批次</w:t>
            </w:r>
          </w:p>
        </w:tc>
        <w:tc>
          <w:tcPr>
            <w:tcW w:w="2395" w:type="dxa"/>
            <w:vAlign w:val="center"/>
          </w:tcPr>
          <w:p>
            <w:pPr>
              <w:pStyle w:val="19"/>
            </w:pPr>
            <w:r>
              <w:t>成品油及尿素全年抽检批次</w:t>
            </w:r>
          </w:p>
        </w:tc>
        <w:tc>
          <w:tcPr>
            <w:tcW w:w="1327" w:type="dxa"/>
            <w:vAlign w:val="center"/>
          </w:tcPr>
          <w:p>
            <w:pPr>
              <w:pStyle w:val="19"/>
            </w:pPr>
            <w:r>
              <w:t>≥420批次</w:t>
            </w:r>
          </w:p>
        </w:tc>
        <w:tc>
          <w:tcPr>
            <w:tcW w:w="1327" w:type="dxa"/>
            <w:vAlign w:val="center"/>
          </w:tcPr>
          <w:p>
            <w:pPr>
              <w:pStyle w:val="19"/>
              <w:rPr>
                <w:sz w:val="11"/>
                <w:szCs w:val="11"/>
              </w:rPr>
            </w:pPr>
            <w:r>
              <w:rPr>
                <w:sz w:val="11"/>
                <w:szCs w:val="11"/>
              </w:rPr>
              <w:t>【香油综治办字（2021）2号】及年度抽检计划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数量指标</w:t>
            </w:r>
          </w:p>
        </w:tc>
        <w:tc>
          <w:tcPr>
            <w:tcW w:w="1586" w:type="dxa"/>
            <w:vAlign w:val="center"/>
          </w:tcPr>
          <w:p>
            <w:pPr>
              <w:pStyle w:val="19"/>
            </w:pPr>
            <w:r>
              <w:t>其他产品抽检批次</w:t>
            </w:r>
          </w:p>
        </w:tc>
        <w:tc>
          <w:tcPr>
            <w:tcW w:w="2395" w:type="dxa"/>
            <w:vAlign w:val="center"/>
          </w:tcPr>
          <w:p>
            <w:pPr>
              <w:pStyle w:val="19"/>
            </w:pPr>
            <w:r>
              <w:t>其他产品抽检批次</w:t>
            </w:r>
          </w:p>
        </w:tc>
        <w:tc>
          <w:tcPr>
            <w:tcW w:w="1327" w:type="dxa"/>
            <w:vAlign w:val="center"/>
          </w:tcPr>
          <w:p>
            <w:pPr>
              <w:pStyle w:val="19"/>
            </w:pPr>
            <w:r>
              <w:t>≥110批次</w:t>
            </w:r>
          </w:p>
        </w:tc>
        <w:tc>
          <w:tcPr>
            <w:tcW w:w="1327" w:type="dxa"/>
            <w:vAlign w:val="center"/>
          </w:tcPr>
          <w:p>
            <w:pPr>
              <w:pStyle w:val="19"/>
              <w:rPr>
                <w:sz w:val="11"/>
                <w:szCs w:val="11"/>
              </w:rPr>
            </w:pPr>
            <w:r>
              <w:rPr>
                <w:sz w:val="11"/>
                <w:szCs w:val="11"/>
              </w:rPr>
              <w:t>《中华人民共和国产品质量法》及年度抽检计划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586" w:type="dxa"/>
            <w:vAlign w:val="center"/>
          </w:tcPr>
          <w:p>
            <w:pPr>
              <w:pStyle w:val="19"/>
            </w:pPr>
            <w:r>
              <w:t>成品油覆盖率</w:t>
            </w:r>
          </w:p>
        </w:tc>
        <w:tc>
          <w:tcPr>
            <w:tcW w:w="2395" w:type="dxa"/>
            <w:vAlign w:val="center"/>
          </w:tcPr>
          <w:p>
            <w:pPr>
              <w:pStyle w:val="19"/>
            </w:pPr>
            <w:r>
              <w:t>成品油抽检覆盖率</w:t>
            </w:r>
          </w:p>
        </w:tc>
        <w:tc>
          <w:tcPr>
            <w:tcW w:w="1327" w:type="dxa"/>
            <w:vAlign w:val="center"/>
          </w:tcPr>
          <w:p>
            <w:pPr>
              <w:pStyle w:val="19"/>
            </w:pPr>
            <w:r>
              <w:t>100百分比</w:t>
            </w:r>
          </w:p>
        </w:tc>
        <w:tc>
          <w:tcPr>
            <w:tcW w:w="1327" w:type="dxa"/>
            <w:vAlign w:val="center"/>
          </w:tcPr>
          <w:p>
            <w:pPr>
              <w:pStyle w:val="19"/>
              <w:rPr>
                <w:sz w:val="11"/>
                <w:szCs w:val="11"/>
              </w:rPr>
            </w:pPr>
            <w:r>
              <w:rPr>
                <w:sz w:val="11"/>
                <w:szCs w:val="11"/>
              </w:rPr>
              <w:t>【香油综治办字（2021）2号】等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586" w:type="dxa"/>
            <w:vAlign w:val="center"/>
          </w:tcPr>
          <w:p>
            <w:pPr>
              <w:pStyle w:val="19"/>
            </w:pPr>
            <w:r>
              <w:t>完成及时率</w:t>
            </w:r>
          </w:p>
        </w:tc>
        <w:tc>
          <w:tcPr>
            <w:tcW w:w="2395" w:type="dxa"/>
            <w:vAlign w:val="center"/>
          </w:tcPr>
          <w:p>
            <w:pPr>
              <w:pStyle w:val="19"/>
            </w:pPr>
            <w:r>
              <w:t>项目完成时间</w:t>
            </w:r>
          </w:p>
        </w:tc>
        <w:tc>
          <w:tcPr>
            <w:tcW w:w="1327" w:type="dxa"/>
            <w:vAlign w:val="center"/>
          </w:tcPr>
          <w:p>
            <w:pPr>
              <w:pStyle w:val="19"/>
            </w:pPr>
            <w:r>
              <w:t>≤12月</w:t>
            </w:r>
          </w:p>
        </w:tc>
        <w:tc>
          <w:tcPr>
            <w:tcW w:w="1327" w:type="dxa"/>
            <w:vAlign w:val="center"/>
          </w:tcPr>
          <w:p>
            <w:pPr>
              <w:pStyle w:val="19"/>
              <w:rPr>
                <w:sz w:val="18"/>
                <w:szCs w:val="18"/>
              </w:rPr>
            </w:pPr>
            <w:r>
              <w:rPr>
                <w:sz w:val="18"/>
                <w:szCs w:val="18"/>
              </w:rP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586" w:type="dxa"/>
            <w:vAlign w:val="center"/>
          </w:tcPr>
          <w:p>
            <w:pPr>
              <w:pStyle w:val="19"/>
            </w:pPr>
            <w:r>
              <w:t>抽检成本</w:t>
            </w:r>
          </w:p>
        </w:tc>
        <w:tc>
          <w:tcPr>
            <w:tcW w:w="2395" w:type="dxa"/>
            <w:vAlign w:val="center"/>
          </w:tcPr>
          <w:p>
            <w:pPr>
              <w:pStyle w:val="19"/>
            </w:pPr>
            <w:r>
              <w:t>消费类产品平均每批次抽检成本</w:t>
            </w:r>
          </w:p>
        </w:tc>
        <w:tc>
          <w:tcPr>
            <w:tcW w:w="1327" w:type="dxa"/>
            <w:vAlign w:val="center"/>
          </w:tcPr>
          <w:p>
            <w:pPr>
              <w:pStyle w:val="19"/>
            </w:pPr>
            <w:r>
              <w:t>≤0.26万元</w:t>
            </w:r>
          </w:p>
        </w:tc>
        <w:tc>
          <w:tcPr>
            <w:tcW w:w="1327" w:type="dxa"/>
            <w:vAlign w:val="center"/>
          </w:tcPr>
          <w:p>
            <w:pPr>
              <w:pStyle w:val="19"/>
              <w:rPr>
                <w:sz w:val="18"/>
                <w:szCs w:val="18"/>
              </w:rPr>
            </w:pPr>
            <w:r>
              <w:rPr>
                <w:sz w:val="18"/>
                <w:szCs w:val="18"/>
              </w:rPr>
              <w:t>历史招标文件推测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586" w:type="dxa"/>
            <w:vAlign w:val="center"/>
          </w:tcPr>
          <w:p>
            <w:pPr>
              <w:pStyle w:val="19"/>
            </w:pPr>
            <w:r>
              <w:t>抽检成本</w:t>
            </w:r>
          </w:p>
        </w:tc>
        <w:tc>
          <w:tcPr>
            <w:tcW w:w="2395" w:type="dxa"/>
            <w:vAlign w:val="center"/>
          </w:tcPr>
          <w:p>
            <w:pPr>
              <w:pStyle w:val="19"/>
            </w:pPr>
            <w:r>
              <w:t>成品油平均每批次抽检成本</w:t>
            </w:r>
          </w:p>
        </w:tc>
        <w:tc>
          <w:tcPr>
            <w:tcW w:w="1327" w:type="dxa"/>
            <w:vAlign w:val="center"/>
          </w:tcPr>
          <w:p>
            <w:pPr>
              <w:pStyle w:val="19"/>
            </w:pPr>
            <w:r>
              <w:t>≤0.12万元</w:t>
            </w:r>
          </w:p>
        </w:tc>
        <w:tc>
          <w:tcPr>
            <w:tcW w:w="1327" w:type="dxa"/>
            <w:vAlign w:val="center"/>
          </w:tcPr>
          <w:p>
            <w:pPr>
              <w:pStyle w:val="19"/>
              <w:rPr>
                <w:sz w:val="18"/>
                <w:szCs w:val="18"/>
              </w:rPr>
            </w:pPr>
            <w:r>
              <w:rPr>
                <w:sz w:val="18"/>
                <w:szCs w:val="18"/>
              </w:rPr>
              <w:t>历史招标文件推测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586" w:type="dxa"/>
            <w:vAlign w:val="center"/>
          </w:tcPr>
          <w:p>
            <w:pPr>
              <w:pStyle w:val="19"/>
            </w:pPr>
            <w:r>
              <w:t>抽检合格率</w:t>
            </w:r>
          </w:p>
        </w:tc>
        <w:tc>
          <w:tcPr>
            <w:tcW w:w="2395" w:type="dxa"/>
            <w:vAlign w:val="center"/>
          </w:tcPr>
          <w:p>
            <w:pPr>
              <w:pStyle w:val="19"/>
            </w:pPr>
            <w:r>
              <w:t>抽检成品油合格批次与总抽检批次的比率</w:t>
            </w:r>
          </w:p>
        </w:tc>
        <w:tc>
          <w:tcPr>
            <w:tcW w:w="1327" w:type="dxa"/>
            <w:vAlign w:val="center"/>
          </w:tcPr>
          <w:p>
            <w:pPr>
              <w:pStyle w:val="19"/>
            </w:pPr>
            <w:r>
              <w:t>≥90百分比</w:t>
            </w:r>
          </w:p>
        </w:tc>
        <w:tc>
          <w:tcPr>
            <w:tcW w:w="1327" w:type="dxa"/>
            <w:vAlign w:val="center"/>
          </w:tcPr>
          <w:p>
            <w:pPr>
              <w:pStyle w:val="19"/>
              <w:rPr>
                <w:sz w:val="18"/>
                <w:szCs w:val="18"/>
              </w:rPr>
            </w:pPr>
            <w:r>
              <w:rPr>
                <w:sz w:val="18"/>
                <w:szCs w:val="18"/>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586" w:type="dxa"/>
            <w:vAlign w:val="center"/>
          </w:tcPr>
          <w:p>
            <w:pPr>
              <w:pStyle w:val="19"/>
            </w:pPr>
            <w:r>
              <w:t>持续时长</w:t>
            </w:r>
          </w:p>
        </w:tc>
        <w:tc>
          <w:tcPr>
            <w:tcW w:w="2395" w:type="dxa"/>
            <w:vAlign w:val="center"/>
          </w:tcPr>
          <w:p>
            <w:pPr>
              <w:pStyle w:val="19"/>
            </w:pPr>
            <w:r>
              <w:t>项目持续发挥作用年限</w:t>
            </w:r>
          </w:p>
        </w:tc>
        <w:tc>
          <w:tcPr>
            <w:tcW w:w="1327" w:type="dxa"/>
            <w:vAlign w:val="center"/>
          </w:tcPr>
          <w:p>
            <w:pPr>
              <w:pStyle w:val="19"/>
            </w:pPr>
            <w:r>
              <w:t>≥1年</w:t>
            </w:r>
          </w:p>
        </w:tc>
        <w:tc>
          <w:tcPr>
            <w:tcW w:w="1327" w:type="dxa"/>
            <w:vAlign w:val="center"/>
          </w:tcPr>
          <w:p>
            <w:pPr>
              <w:pStyle w:val="19"/>
              <w:rPr>
                <w:sz w:val="18"/>
                <w:szCs w:val="18"/>
              </w:rPr>
            </w:pPr>
            <w:r>
              <w:rPr>
                <w:sz w:val="18"/>
                <w:szCs w:val="18"/>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586" w:type="dxa"/>
            <w:vAlign w:val="center"/>
          </w:tcPr>
          <w:p>
            <w:pPr>
              <w:pStyle w:val="19"/>
            </w:pPr>
            <w:r>
              <w:t>群众满意度</w:t>
            </w:r>
          </w:p>
        </w:tc>
        <w:tc>
          <w:tcPr>
            <w:tcW w:w="2395" w:type="dxa"/>
            <w:vAlign w:val="center"/>
          </w:tcPr>
          <w:p>
            <w:pPr>
              <w:pStyle w:val="19"/>
            </w:pPr>
            <w:r>
              <w:t>调查中满意和较满意人数占调查总数的比例</w:t>
            </w:r>
          </w:p>
        </w:tc>
        <w:tc>
          <w:tcPr>
            <w:tcW w:w="1327" w:type="dxa"/>
            <w:vAlign w:val="center"/>
          </w:tcPr>
          <w:p>
            <w:pPr>
              <w:pStyle w:val="19"/>
            </w:pPr>
            <w:r>
              <w:t>≥90百分比</w:t>
            </w:r>
          </w:p>
        </w:tc>
        <w:tc>
          <w:tcPr>
            <w:tcW w:w="1327" w:type="dxa"/>
            <w:vAlign w:val="center"/>
          </w:tcPr>
          <w:p>
            <w:pPr>
              <w:pStyle w:val="19"/>
              <w:rPr>
                <w:sz w:val="18"/>
                <w:szCs w:val="18"/>
              </w:rPr>
            </w:pPr>
            <w:r>
              <w:rPr>
                <w:sz w:val="18"/>
                <w:szCs w:val="18"/>
              </w:rPr>
              <w:t>根据实际调查询问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7"/>
      <w:r>
        <w:rPr>
          <w:rFonts w:ascii="方正仿宋_GBK" w:hAnsi="方正仿宋_GBK" w:eastAsia="方正仿宋_GBK" w:cs="方正仿宋_GBK"/>
          <w:color w:val="000000"/>
          <w:sz w:val="28"/>
        </w:rPr>
        <w:t>4.成品油快速检测专用车购置经费绩效目标表</w:t>
      </w:r>
      <w:bookmarkEnd w:id="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13102422P00DQ6610002T</w:t>
            </w:r>
          </w:p>
        </w:tc>
        <w:tc>
          <w:tcPr>
            <w:tcW w:w="1327" w:type="dxa"/>
            <w:vAlign w:val="center"/>
          </w:tcPr>
          <w:p>
            <w:pPr>
              <w:pStyle w:val="18"/>
            </w:pPr>
            <w:r>
              <w:t>项目名称</w:t>
            </w:r>
          </w:p>
        </w:tc>
        <w:tc>
          <w:tcPr>
            <w:tcW w:w="3981" w:type="dxa"/>
            <w:gridSpan w:val="3"/>
            <w:vAlign w:val="center"/>
          </w:tcPr>
          <w:p>
            <w:pPr>
              <w:pStyle w:val="19"/>
            </w:pPr>
            <w:r>
              <w:t>成品油快速检测专用车购置经费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298.56</w:t>
            </w:r>
          </w:p>
        </w:tc>
        <w:tc>
          <w:tcPr>
            <w:tcW w:w="1327" w:type="dxa"/>
            <w:vAlign w:val="center"/>
          </w:tcPr>
          <w:p>
            <w:pPr>
              <w:pStyle w:val="18"/>
            </w:pPr>
            <w:r>
              <w:t>其中：财政    资金</w:t>
            </w:r>
          </w:p>
        </w:tc>
        <w:tc>
          <w:tcPr>
            <w:tcW w:w="1327" w:type="dxa"/>
            <w:vAlign w:val="center"/>
          </w:tcPr>
          <w:p>
            <w:pPr>
              <w:pStyle w:val="19"/>
            </w:pPr>
            <w:r>
              <w:t>298.56</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购置1辆成品油快速检测专用车（含车载设备），用于我县辖区内成品油质量快速检测筛查。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100%</w:t>
            </w:r>
          </w:p>
        </w:tc>
        <w:tc>
          <w:tcPr>
            <w:tcW w:w="1327" w:type="dxa"/>
            <w:vAlign w:val="center"/>
          </w:tcPr>
          <w:p>
            <w:pPr>
              <w:pStyle w:val="20"/>
            </w:pPr>
            <w:r>
              <w:t>100%</w:t>
            </w:r>
          </w:p>
        </w:tc>
        <w:tc>
          <w:tcPr>
            <w:tcW w:w="1327" w:type="dxa"/>
            <w:vAlign w:val="center"/>
          </w:tcPr>
          <w:p>
            <w:pPr>
              <w:pStyle w:val="20"/>
            </w:pPr>
            <w:r>
              <w:t>100%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1.通过项目的开展，建设成品油快速检测筛查能力，加大成品油质量监管力度，严厉打击违法销售不合格成品油行为，进一步提升大气环境质量，切实保护消费者合法权益。</w:t>
            </w:r>
          </w:p>
          <w:p>
            <w:pPr>
              <w:pStyle w:val="19"/>
            </w:pPr>
            <w:r>
              <w:t>2.购置1辆成品油快速检测专用车（含车载设备），建立成品油快速检测筛查能力，对我县辖区内成品油质量进行快速检测筛查，实现成品油快速检测、快出结果、现场处置、快速查处的目的</w:t>
            </w:r>
          </w:p>
          <w:p>
            <w:pPr>
              <w:pStyle w:val="19"/>
            </w:pPr>
            <w:r>
              <w:t>3.通过项目的开展，建设成品油快速检测筛查能力，提高社会公众满意度</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购置设备数量</w:t>
            </w:r>
          </w:p>
        </w:tc>
        <w:tc>
          <w:tcPr>
            <w:tcW w:w="2654" w:type="dxa"/>
            <w:vAlign w:val="center"/>
          </w:tcPr>
          <w:p>
            <w:pPr>
              <w:pStyle w:val="19"/>
            </w:pPr>
            <w:r>
              <w:t>成品油快检车及配套装置购置数量</w:t>
            </w:r>
          </w:p>
        </w:tc>
        <w:tc>
          <w:tcPr>
            <w:tcW w:w="1327" w:type="dxa"/>
            <w:vAlign w:val="center"/>
          </w:tcPr>
          <w:p>
            <w:pPr>
              <w:pStyle w:val="19"/>
            </w:pPr>
            <w:r>
              <w:t>1套</w:t>
            </w:r>
          </w:p>
        </w:tc>
        <w:tc>
          <w:tcPr>
            <w:tcW w:w="1327" w:type="dxa"/>
            <w:vAlign w:val="center"/>
          </w:tcPr>
          <w:p>
            <w:pPr>
              <w:pStyle w:val="19"/>
              <w:rPr>
                <w:sz w:val="15"/>
                <w:szCs w:val="15"/>
              </w:rPr>
            </w:pPr>
            <w:r>
              <w:rPr>
                <w:sz w:val="15"/>
                <w:szCs w:val="15"/>
              </w:rPr>
              <w:t>（廊市监市监【2021】1号）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验收合格率</w:t>
            </w:r>
          </w:p>
        </w:tc>
        <w:tc>
          <w:tcPr>
            <w:tcW w:w="2654" w:type="dxa"/>
            <w:vAlign w:val="center"/>
          </w:tcPr>
          <w:p>
            <w:pPr>
              <w:pStyle w:val="19"/>
            </w:pPr>
            <w:r>
              <w:t>成品油快检车验收合格情况</w:t>
            </w:r>
          </w:p>
        </w:tc>
        <w:tc>
          <w:tcPr>
            <w:tcW w:w="1327" w:type="dxa"/>
            <w:vAlign w:val="center"/>
          </w:tcPr>
          <w:p>
            <w:pPr>
              <w:pStyle w:val="19"/>
            </w:pPr>
            <w:r>
              <w:t>100%</w:t>
            </w:r>
          </w:p>
        </w:tc>
        <w:tc>
          <w:tcPr>
            <w:tcW w:w="1327" w:type="dxa"/>
            <w:vAlign w:val="center"/>
          </w:tcPr>
          <w:p>
            <w:pPr>
              <w:pStyle w:val="19"/>
              <w:rPr>
                <w:sz w:val="15"/>
                <w:szCs w:val="15"/>
              </w:rPr>
            </w:pPr>
            <w:r>
              <w:rPr>
                <w:sz w:val="15"/>
                <w:szCs w:val="15"/>
              </w:rPr>
              <w:t>（廊市监市监【2021】1号）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及时性</w:t>
            </w:r>
          </w:p>
        </w:tc>
        <w:tc>
          <w:tcPr>
            <w:tcW w:w="2654" w:type="dxa"/>
            <w:vAlign w:val="center"/>
          </w:tcPr>
          <w:p>
            <w:pPr>
              <w:pStyle w:val="19"/>
            </w:pPr>
            <w:r>
              <w:t>及时完成成品油快车购置工作</w:t>
            </w:r>
          </w:p>
        </w:tc>
        <w:tc>
          <w:tcPr>
            <w:tcW w:w="1327" w:type="dxa"/>
            <w:vAlign w:val="center"/>
          </w:tcPr>
          <w:p>
            <w:pPr>
              <w:pStyle w:val="19"/>
            </w:pPr>
            <w:r>
              <w:t>≤12月</w:t>
            </w:r>
          </w:p>
        </w:tc>
        <w:tc>
          <w:tcPr>
            <w:tcW w:w="1327" w:type="dxa"/>
            <w:vAlign w:val="center"/>
          </w:tcPr>
          <w:p>
            <w:pPr>
              <w:pStyle w:val="19"/>
              <w:rPr>
                <w:sz w:val="15"/>
                <w:szCs w:val="15"/>
              </w:rPr>
            </w:pPr>
            <w:r>
              <w:rPr>
                <w:sz w:val="15"/>
                <w:szCs w:val="15"/>
              </w:rPr>
              <w:t>（廊市监市监【2021】1号）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总成本控制率</w:t>
            </w:r>
          </w:p>
        </w:tc>
        <w:tc>
          <w:tcPr>
            <w:tcW w:w="2654" w:type="dxa"/>
            <w:vAlign w:val="center"/>
          </w:tcPr>
          <w:p>
            <w:pPr>
              <w:pStyle w:val="19"/>
            </w:pPr>
            <w:r>
              <w:t>成品油快检车实际购置成本占计划购置成本金额</w:t>
            </w:r>
          </w:p>
        </w:tc>
        <w:tc>
          <w:tcPr>
            <w:tcW w:w="1327" w:type="dxa"/>
            <w:vAlign w:val="center"/>
          </w:tcPr>
          <w:p>
            <w:pPr>
              <w:pStyle w:val="19"/>
            </w:pPr>
            <w:r>
              <w:t>≤100%</w:t>
            </w:r>
          </w:p>
        </w:tc>
        <w:tc>
          <w:tcPr>
            <w:tcW w:w="1327" w:type="dxa"/>
            <w:vAlign w:val="center"/>
          </w:tcPr>
          <w:p>
            <w:pPr>
              <w:pStyle w:val="19"/>
              <w:rPr>
                <w:sz w:val="15"/>
                <w:szCs w:val="15"/>
              </w:rPr>
            </w:pPr>
            <w:r>
              <w:rPr>
                <w:sz w:val="15"/>
                <w:szCs w:val="15"/>
              </w:rPr>
              <w:t>（廊市监市监【2021】1号）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增加成品油快检能力</w:t>
            </w:r>
          </w:p>
        </w:tc>
        <w:tc>
          <w:tcPr>
            <w:tcW w:w="2654" w:type="dxa"/>
            <w:vAlign w:val="center"/>
          </w:tcPr>
          <w:p>
            <w:pPr>
              <w:pStyle w:val="19"/>
            </w:pPr>
            <w:r>
              <w:t>增加成品油快速检测筛查能力</w:t>
            </w:r>
          </w:p>
        </w:tc>
        <w:tc>
          <w:tcPr>
            <w:tcW w:w="1327" w:type="dxa"/>
            <w:vAlign w:val="center"/>
          </w:tcPr>
          <w:p>
            <w:pPr>
              <w:pStyle w:val="19"/>
            </w:pPr>
            <w:r>
              <w:t>1项</w:t>
            </w:r>
          </w:p>
        </w:tc>
        <w:tc>
          <w:tcPr>
            <w:tcW w:w="1327" w:type="dxa"/>
            <w:vAlign w:val="center"/>
          </w:tcPr>
          <w:p>
            <w:pPr>
              <w:pStyle w:val="19"/>
              <w:rPr>
                <w:sz w:val="15"/>
                <w:szCs w:val="15"/>
              </w:rPr>
            </w:pPr>
            <w:r>
              <w:rPr>
                <w:sz w:val="15"/>
                <w:szCs w:val="15"/>
              </w:rPr>
              <w:t>（廊市监市监【2021】1号）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生态效益指标</w:t>
            </w:r>
          </w:p>
        </w:tc>
        <w:tc>
          <w:tcPr>
            <w:tcW w:w="1327" w:type="dxa"/>
            <w:vAlign w:val="center"/>
          </w:tcPr>
          <w:p>
            <w:pPr>
              <w:pStyle w:val="19"/>
            </w:pPr>
            <w:r>
              <w:t>降低大气污染</w:t>
            </w:r>
          </w:p>
        </w:tc>
        <w:tc>
          <w:tcPr>
            <w:tcW w:w="2654" w:type="dxa"/>
            <w:vAlign w:val="center"/>
          </w:tcPr>
          <w:p>
            <w:pPr>
              <w:pStyle w:val="19"/>
            </w:pPr>
            <w:r>
              <w:t>降低大气污染情况</w:t>
            </w:r>
          </w:p>
        </w:tc>
        <w:tc>
          <w:tcPr>
            <w:tcW w:w="1327" w:type="dxa"/>
            <w:vAlign w:val="center"/>
          </w:tcPr>
          <w:p>
            <w:pPr>
              <w:pStyle w:val="19"/>
            </w:pPr>
            <w:r>
              <w:t>降低</w:t>
            </w:r>
          </w:p>
        </w:tc>
        <w:tc>
          <w:tcPr>
            <w:tcW w:w="1327" w:type="dxa"/>
            <w:vAlign w:val="center"/>
          </w:tcPr>
          <w:p>
            <w:pPr>
              <w:pStyle w:val="19"/>
              <w:rPr>
                <w:sz w:val="15"/>
                <w:szCs w:val="15"/>
              </w:rPr>
            </w:pPr>
            <w:r>
              <w:rPr>
                <w:sz w:val="15"/>
                <w:szCs w:val="15"/>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持续时间长</w:t>
            </w:r>
          </w:p>
        </w:tc>
        <w:tc>
          <w:tcPr>
            <w:tcW w:w="2654" w:type="dxa"/>
            <w:vAlign w:val="center"/>
          </w:tcPr>
          <w:p>
            <w:pPr>
              <w:pStyle w:val="19"/>
            </w:pPr>
            <w:r>
              <w:t>项目持续发挥作用年限</w:t>
            </w:r>
          </w:p>
        </w:tc>
        <w:tc>
          <w:tcPr>
            <w:tcW w:w="1327" w:type="dxa"/>
            <w:vAlign w:val="center"/>
          </w:tcPr>
          <w:p>
            <w:pPr>
              <w:pStyle w:val="19"/>
            </w:pPr>
            <w:r>
              <w:t>≥5年</w:t>
            </w:r>
          </w:p>
        </w:tc>
        <w:tc>
          <w:tcPr>
            <w:tcW w:w="1327" w:type="dxa"/>
            <w:vAlign w:val="center"/>
          </w:tcPr>
          <w:p>
            <w:pPr>
              <w:pStyle w:val="19"/>
              <w:rPr>
                <w:sz w:val="15"/>
                <w:szCs w:val="15"/>
              </w:rPr>
            </w:pPr>
            <w:r>
              <w:rPr>
                <w:sz w:val="15"/>
                <w:szCs w:val="15"/>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群众满意度</w:t>
            </w:r>
          </w:p>
        </w:tc>
        <w:tc>
          <w:tcPr>
            <w:tcW w:w="2654" w:type="dxa"/>
            <w:vAlign w:val="center"/>
          </w:tcPr>
          <w:p>
            <w:pPr>
              <w:pStyle w:val="19"/>
            </w:pPr>
            <w:r>
              <w:t>社会公众对项目开展情况满意程度</w:t>
            </w:r>
          </w:p>
        </w:tc>
        <w:tc>
          <w:tcPr>
            <w:tcW w:w="1327" w:type="dxa"/>
            <w:vAlign w:val="center"/>
          </w:tcPr>
          <w:p>
            <w:pPr>
              <w:pStyle w:val="19"/>
            </w:pPr>
            <w:r>
              <w:t>≥90%</w:t>
            </w:r>
          </w:p>
        </w:tc>
        <w:tc>
          <w:tcPr>
            <w:tcW w:w="1327" w:type="dxa"/>
            <w:vAlign w:val="center"/>
          </w:tcPr>
          <w:p>
            <w:pPr>
              <w:pStyle w:val="19"/>
              <w:rPr>
                <w:sz w:val="15"/>
                <w:szCs w:val="15"/>
              </w:rPr>
            </w:pPr>
            <w:r>
              <w:rPr>
                <w:sz w:val="15"/>
                <w:szCs w:val="15"/>
              </w:rP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8"/>
      <w:r>
        <w:rPr>
          <w:rFonts w:ascii="方正仿宋_GBK" w:hAnsi="方正仿宋_GBK" w:eastAsia="方正仿宋_GBK" w:cs="方正仿宋_GBK"/>
          <w:color w:val="000000"/>
          <w:sz w:val="28"/>
        </w:rPr>
        <w:t>5.村街食品药品安全协管员专项补贴绩效目标表</w:t>
      </w:r>
      <w:bookmarkEnd w:id="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13102422P00JW3J100025</w:t>
            </w:r>
          </w:p>
        </w:tc>
        <w:tc>
          <w:tcPr>
            <w:tcW w:w="1327" w:type="dxa"/>
            <w:vAlign w:val="center"/>
          </w:tcPr>
          <w:p>
            <w:pPr>
              <w:pStyle w:val="18"/>
            </w:pPr>
            <w:r>
              <w:t>项目名称</w:t>
            </w:r>
          </w:p>
        </w:tc>
        <w:tc>
          <w:tcPr>
            <w:tcW w:w="3981" w:type="dxa"/>
            <w:gridSpan w:val="3"/>
            <w:vAlign w:val="center"/>
          </w:tcPr>
          <w:p>
            <w:pPr>
              <w:pStyle w:val="19"/>
            </w:pPr>
            <w:r>
              <w:t>村街食品药品安全协管员专项补贴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78.72</w:t>
            </w:r>
          </w:p>
        </w:tc>
        <w:tc>
          <w:tcPr>
            <w:tcW w:w="1327" w:type="dxa"/>
            <w:vAlign w:val="center"/>
          </w:tcPr>
          <w:p>
            <w:pPr>
              <w:pStyle w:val="18"/>
            </w:pPr>
            <w:r>
              <w:t>其中：财政    资金</w:t>
            </w:r>
          </w:p>
        </w:tc>
        <w:tc>
          <w:tcPr>
            <w:tcW w:w="1327" w:type="dxa"/>
            <w:vAlign w:val="center"/>
          </w:tcPr>
          <w:p>
            <w:pPr>
              <w:pStyle w:val="19"/>
            </w:pPr>
            <w:r>
              <w:t>78.72</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对全县14个乡镇的村街食品药品安全协管员拨付专项补贴，用于调动村街食品药品安全协管员工作积极性，提高全县基层食品药品安全监管水平，确保辖区人民群众饮食用药安全.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 xml:space="preserve"> </w:t>
            </w:r>
          </w:p>
        </w:tc>
        <w:tc>
          <w:tcPr>
            <w:tcW w:w="1327" w:type="dxa"/>
            <w:vAlign w:val="center"/>
          </w:tcPr>
          <w:p>
            <w:pPr>
              <w:pStyle w:val="20"/>
            </w:pPr>
            <w:r>
              <w:t xml:space="preserve"> </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1.通过协管员补贴发放项目，调动食品药品安全协管员工作积极性，提高全县基层食品药品安全监管水平，确保辖区人民群众饮食用药安全。</w:t>
            </w:r>
          </w:p>
          <w:p>
            <w:pPr>
              <w:pStyle w:val="19"/>
            </w:pPr>
            <w:r>
              <w:t>2.通过项目的实施，及时、准确补助村街食品药品安全协管员，每人发放2400元，做到无食品安全事故，健全长效管理机制，使群众满意度≥85%。</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补助人数</w:t>
            </w:r>
          </w:p>
        </w:tc>
        <w:tc>
          <w:tcPr>
            <w:tcW w:w="2654" w:type="dxa"/>
            <w:vAlign w:val="center"/>
          </w:tcPr>
          <w:p>
            <w:pPr>
              <w:pStyle w:val="19"/>
            </w:pPr>
            <w:r>
              <w:t>补贴食品药品安全协管员人数</w:t>
            </w:r>
          </w:p>
        </w:tc>
        <w:tc>
          <w:tcPr>
            <w:tcW w:w="1327" w:type="dxa"/>
            <w:vAlign w:val="center"/>
          </w:tcPr>
          <w:p>
            <w:pPr>
              <w:pStyle w:val="19"/>
            </w:pPr>
            <w:r>
              <w:t>≤328人</w:t>
            </w:r>
          </w:p>
        </w:tc>
        <w:tc>
          <w:tcPr>
            <w:tcW w:w="1327" w:type="dxa"/>
            <w:vAlign w:val="center"/>
          </w:tcPr>
          <w:p>
            <w:pPr>
              <w:pStyle w:val="19"/>
            </w:pPr>
            <w:r>
              <w:t>补贴拨付明细表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发放准确率</w:t>
            </w:r>
          </w:p>
        </w:tc>
        <w:tc>
          <w:tcPr>
            <w:tcW w:w="2654" w:type="dxa"/>
            <w:vAlign w:val="center"/>
          </w:tcPr>
          <w:p>
            <w:pPr>
              <w:pStyle w:val="19"/>
            </w:pPr>
            <w:r>
              <w:t>向食品药品协管员准确发放补贴的情况</w:t>
            </w:r>
          </w:p>
        </w:tc>
        <w:tc>
          <w:tcPr>
            <w:tcW w:w="1327" w:type="dxa"/>
            <w:vAlign w:val="center"/>
          </w:tcPr>
          <w:p>
            <w:pPr>
              <w:pStyle w:val="19"/>
            </w:pPr>
            <w:r>
              <w:t>100%</w:t>
            </w:r>
          </w:p>
        </w:tc>
        <w:tc>
          <w:tcPr>
            <w:tcW w:w="1327" w:type="dxa"/>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补贴拨付及时性</w:t>
            </w:r>
          </w:p>
        </w:tc>
        <w:tc>
          <w:tcPr>
            <w:tcW w:w="2654" w:type="dxa"/>
            <w:vAlign w:val="center"/>
          </w:tcPr>
          <w:p>
            <w:pPr>
              <w:pStyle w:val="19"/>
            </w:pPr>
            <w:r>
              <w:t>补贴拨付到乡镇的完成时间</w:t>
            </w:r>
          </w:p>
        </w:tc>
        <w:tc>
          <w:tcPr>
            <w:tcW w:w="1327" w:type="dxa"/>
            <w:vAlign w:val="center"/>
          </w:tcPr>
          <w:p>
            <w:pPr>
              <w:pStyle w:val="19"/>
            </w:pPr>
            <w:r>
              <w:t>≤12月</w:t>
            </w:r>
          </w:p>
        </w:tc>
        <w:tc>
          <w:tcPr>
            <w:tcW w:w="1327" w:type="dxa"/>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人均补贴成本</w:t>
            </w:r>
          </w:p>
        </w:tc>
        <w:tc>
          <w:tcPr>
            <w:tcW w:w="2654" w:type="dxa"/>
            <w:vAlign w:val="center"/>
          </w:tcPr>
          <w:p>
            <w:pPr>
              <w:pStyle w:val="19"/>
            </w:pPr>
            <w:r>
              <w:t>人均补贴成本</w:t>
            </w:r>
          </w:p>
        </w:tc>
        <w:tc>
          <w:tcPr>
            <w:tcW w:w="1327" w:type="dxa"/>
            <w:vAlign w:val="center"/>
          </w:tcPr>
          <w:p>
            <w:pPr>
              <w:pStyle w:val="19"/>
            </w:pPr>
            <w:r>
              <w:t>2400元</w:t>
            </w:r>
          </w:p>
        </w:tc>
        <w:tc>
          <w:tcPr>
            <w:tcW w:w="1327" w:type="dxa"/>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食品安全事故次数</w:t>
            </w:r>
          </w:p>
        </w:tc>
        <w:tc>
          <w:tcPr>
            <w:tcW w:w="2654" w:type="dxa"/>
            <w:vAlign w:val="center"/>
          </w:tcPr>
          <w:p>
            <w:pPr>
              <w:pStyle w:val="19"/>
            </w:pPr>
            <w:r>
              <w:t>食品安全事故次数</w:t>
            </w:r>
          </w:p>
        </w:tc>
        <w:tc>
          <w:tcPr>
            <w:tcW w:w="1327" w:type="dxa"/>
            <w:vAlign w:val="center"/>
          </w:tcPr>
          <w:p>
            <w:pPr>
              <w:pStyle w:val="19"/>
            </w:pPr>
            <w:r>
              <w:t>0次</w:t>
            </w:r>
          </w:p>
        </w:tc>
        <w:tc>
          <w:tcPr>
            <w:tcW w:w="1327" w:type="dxa"/>
            <w:vAlign w:val="center"/>
          </w:tcPr>
          <w:p>
            <w:pPr>
              <w:pStyle w:val="19"/>
            </w:pPr>
            <w:r>
              <w:t>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考核项目单位相关管理机制建立健全情况</w:t>
            </w:r>
          </w:p>
        </w:tc>
        <w:tc>
          <w:tcPr>
            <w:tcW w:w="1327" w:type="dxa"/>
            <w:vAlign w:val="center"/>
          </w:tcPr>
          <w:p>
            <w:pPr>
              <w:pStyle w:val="19"/>
            </w:pPr>
            <w:r>
              <w:t>健全</w:t>
            </w:r>
          </w:p>
        </w:tc>
        <w:tc>
          <w:tcPr>
            <w:tcW w:w="1327" w:type="dxa"/>
            <w:vAlign w:val="center"/>
          </w:tcPr>
          <w:p>
            <w:pPr>
              <w:pStyle w:val="19"/>
            </w:pPr>
            <w: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群众的满意度</w:t>
            </w:r>
          </w:p>
        </w:tc>
        <w:tc>
          <w:tcPr>
            <w:tcW w:w="2654" w:type="dxa"/>
            <w:vAlign w:val="center"/>
          </w:tcPr>
          <w:p>
            <w:pPr>
              <w:pStyle w:val="19"/>
            </w:pPr>
            <w:r>
              <w:t>群众对项目工作的满意程度</w:t>
            </w:r>
          </w:p>
        </w:tc>
        <w:tc>
          <w:tcPr>
            <w:tcW w:w="1327" w:type="dxa"/>
            <w:vAlign w:val="center"/>
          </w:tcPr>
          <w:p>
            <w:pPr>
              <w:pStyle w:val="19"/>
            </w:pPr>
            <w:r>
              <w:t>≥85%</w:t>
            </w:r>
          </w:p>
        </w:tc>
        <w:tc>
          <w:tcPr>
            <w:tcW w:w="1327" w:type="dxa"/>
            <w:vAlign w:val="center"/>
          </w:tcPr>
          <w:p>
            <w:pPr>
              <w:pStyle w:val="19"/>
            </w:pPr>
            <w:r>
              <w:t>根据实际调查询问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9"/>
      <w:r>
        <w:rPr>
          <w:rFonts w:ascii="方正仿宋_GBK" w:hAnsi="方正仿宋_GBK" w:eastAsia="方正仿宋_GBK" w:cs="方正仿宋_GBK"/>
          <w:color w:val="000000"/>
          <w:sz w:val="28"/>
        </w:rPr>
        <w:t>6.电代煤村街散煤管控工作补助经费绩效目标表</w:t>
      </w:r>
      <w:bookmarkEnd w:id="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13102422P007837100085</w:t>
            </w:r>
          </w:p>
        </w:tc>
        <w:tc>
          <w:tcPr>
            <w:tcW w:w="1327" w:type="dxa"/>
            <w:vAlign w:val="center"/>
          </w:tcPr>
          <w:p>
            <w:pPr>
              <w:pStyle w:val="18"/>
            </w:pPr>
            <w:r>
              <w:t>项目名称</w:t>
            </w:r>
          </w:p>
        </w:tc>
        <w:tc>
          <w:tcPr>
            <w:tcW w:w="3981" w:type="dxa"/>
            <w:gridSpan w:val="3"/>
            <w:vAlign w:val="center"/>
          </w:tcPr>
          <w:p>
            <w:pPr>
              <w:pStyle w:val="19"/>
            </w:pPr>
            <w:r>
              <w:t>电代煤村街散煤管控工作补助经费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90.00</w:t>
            </w:r>
          </w:p>
        </w:tc>
        <w:tc>
          <w:tcPr>
            <w:tcW w:w="1327" w:type="dxa"/>
            <w:vAlign w:val="center"/>
          </w:tcPr>
          <w:p>
            <w:pPr>
              <w:pStyle w:val="18"/>
            </w:pPr>
            <w:r>
              <w:t>其中：财政    资金</w:t>
            </w:r>
          </w:p>
        </w:tc>
        <w:tc>
          <w:tcPr>
            <w:tcW w:w="1327" w:type="dxa"/>
            <w:vAlign w:val="center"/>
          </w:tcPr>
          <w:p>
            <w:pPr>
              <w:pStyle w:val="19"/>
            </w:pPr>
            <w:r>
              <w:t>90.00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用于补助县域内相关乡镇社区的散煤管控工作，全面加大巡查和宣传力度，严防散煤复燃，确保全县域（除重点燃煤使用单位外）保持散煤“动态清零”.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50%</w:t>
            </w:r>
          </w:p>
        </w:tc>
        <w:tc>
          <w:tcPr>
            <w:tcW w:w="1327" w:type="dxa"/>
            <w:vAlign w:val="center"/>
          </w:tcPr>
          <w:p>
            <w:pPr>
              <w:pStyle w:val="20"/>
            </w:pPr>
            <w:r>
              <w:t>100%</w:t>
            </w:r>
          </w:p>
        </w:tc>
        <w:tc>
          <w:tcPr>
            <w:tcW w:w="1327" w:type="dxa"/>
            <w:vAlign w:val="center"/>
          </w:tcPr>
          <w:p>
            <w:pPr>
              <w:pStyle w:val="20"/>
            </w:pPr>
            <w:r>
              <w:t>100%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1.加强散煤管控工作经费保障，进一步稳固我县散煤治理工作部署、政策措施和工作成效。确保我县散煤治理工作深入开展，各项管控措施落到实处，坚决打赢散煤治理攻坚战，持续改善空气质量。</w:t>
            </w:r>
          </w:p>
          <w:p>
            <w:pPr>
              <w:pStyle w:val="19"/>
            </w:pPr>
            <w:r>
              <w:t>2.全面加强各相关镇、社区办、事务局电代煤村街巡查和宣传力度，严防散煤复燃，补助</w:t>
            </w:r>
            <w:r>
              <w:rPr>
                <w:rFonts w:hint="eastAsia"/>
                <w:lang w:eastAsia="zh-CN"/>
              </w:rPr>
              <w:t>单位</w:t>
            </w:r>
            <w:r>
              <w:t>数量不低于9个，及时准确的完成工作，减少煤炭消耗，确保全县域（除重点燃煤使用单位外）保持散煤“动态清零”。</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补助单位数</w:t>
            </w:r>
          </w:p>
        </w:tc>
        <w:tc>
          <w:tcPr>
            <w:tcW w:w="2654" w:type="dxa"/>
            <w:vAlign w:val="center"/>
          </w:tcPr>
          <w:p>
            <w:pPr>
              <w:pStyle w:val="19"/>
            </w:pPr>
            <w:r>
              <w:t>补助乡镇数量</w:t>
            </w:r>
          </w:p>
        </w:tc>
        <w:tc>
          <w:tcPr>
            <w:tcW w:w="1327" w:type="dxa"/>
            <w:vAlign w:val="center"/>
          </w:tcPr>
          <w:p>
            <w:pPr>
              <w:pStyle w:val="19"/>
            </w:pPr>
            <w:r>
              <w:t>≥9个</w:t>
            </w:r>
          </w:p>
        </w:tc>
        <w:tc>
          <w:tcPr>
            <w:tcW w:w="1327" w:type="dxa"/>
            <w:vAlign w:val="center"/>
          </w:tcPr>
          <w:p>
            <w:pPr>
              <w:pStyle w:val="19"/>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补助准确率</w:t>
            </w:r>
          </w:p>
        </w:tc>
        <w:tc>
          <w:tcPr>
            <w:tcW w:w="2654" w:type="dxa"/>
            <w:vAlign w:val="center"/>
          </w:tcPr>
          <w:p>
            <w:pPr>
              <w:pStyle w:val="19"/>
            </w:pPr>
            <w:r>
              <w:t>实际补助单位与应补助单位的比率</w:t>
            </w:r>
          </w:p>
        </w:tc>
        <w:tc>
          <w:tcPr>
            <w:tcW w:w="1327" w:type="dxa"/>
            <w:vAlign w:val="center"/>
          </w:tcPr>
          <w:p>
            <w:pPr>
              <w:pStyle w:val="19"/>
            </w:pPr>
            <w:r>
              <w:t>100%</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完成及时性</w:t>
            </w:r>
          </w:p>
        </w:tc>
        <w:tc>
          <w:tcPr>
            <w:tcW w:w="2654" w:type="dxa"/>
            <w:vAlign w:val="center"/>
          </w:tcPr>
          <w:p>
            <w:pPr>
              <w:pStyle w:val="19"/>
            </w:pPr>
            <w:r>
              <w:t>补助完成时间</w:t>
            </w:r>
          </w:p>
        </w:tc>
        <w:tc>
          <w:tcPr>
            <w:tcW w:w="1327" w:type="dxa"/>
            <w:vAlign w:val="center"/>
          </w:tcPr>
          <w:p>
            <w:pPr>
              <w:pStyle w:val="19"/>
            </w:pPr>
            <w:r>
              <w:t>≤12月</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成本控制率</w:t>
            </w:r>
          </w:p>
        </w:tc>
        <w:tc>
          <w:tcPr>
            <w:tcW w:w="2654" w:type="dxa"/>
            <w:vAlign w:val="center"/>
          </w:tcPr>
          <w:p>
            <w:pPr>
              <w:pStyle w:val="19"/>
            </w:pPr>
            <w:r>
              <w:t>年度补助成本控制在总成本以内</w:t>
            </w:r>
          </w:p>
        </w:tc>
        <w:tc>
          <w:tcPr>
            <w:tcW w:w="1327" w:type="dxa"/>
            <w:vAlign w:val="center"/>
          </w:tcPr>
          <w:p>
            <w:pPr>
              <w:pStyle w:val="19"/>
            </w:pPr>
            <w:r>
              <w:t>≤90万元</w:t>
            </w:r>
          </w:p>
        </w:tc>
        <w:tc>
          <w:tcPr>
            <w:tcW w:w="1327" w:type="dxa"/>
            <w:vAlign w:val="center"/>
          </w:tcPr>
          <w:p>
            <w:pPr>
              <w:pStyle w:val="19"/>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减少煤炭消耗</w:t>
            </w:r>
          </w:p>
        </w:tc>
        <w:tc>
          <w:tcPr>
            <w:tcW w:w="2654" w:type="dxa"/>
            <w:vAlign w:val="center"/>
          </w:tcPr>
          <w:p>
            <w:pPr>
              <w:pStyle w:val="19"/>
            </w:pPr>
            <w:r>
              <w:t>煤炭消耗量持续减少</w:t>
            </w:r>
          </w:p>
        </w:tc>
        <w:tc>
          <w:tcPr>
            <w:tcW w:w="1327" w:type="dxa"/>
            <w:vAlign w:val="center"/>
          </w:tcPr>
          <w:p>
            <w:pPr>
              <w:pStyle w:val="19"/>
            </w:pPr>
            <w:r>
              <w:t>持续减少</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考核项目单位相关管理机制的建立健全情况</w:t>
            </w:r>
          </w:p>
        </w:tc>
        <w:tc>
          <w:tcPr>
            <w:tcW w:w="1327" w:type="dxa"/>
            <w:vAlign w:val="center"/>
          </w:tcPr>
          <w:p>
            <w:pPr>
              <w:pStyle w:val="19"/>
            </w:pPr>
            <w:r>
              <w:t>健全</w:t>
            </w:r>
          </w:p>
        </w:tc>
        <w:tc>
          <w:tcPr>
            <w:tcW w:w="1327" w:type="dxa"/>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满意度</w:t>
            </w:r>
          </w:p>
        </w:tc>
        <w:tc>
          <w:tcPr>
            <w:tcW w:w="2654" w:type="dxa"/>
            <w:vAlign w:val="center"/>
          </w:tcPr>
          <w:p>
            <w:pPr>
              <w:pStyle w:val="19"/>
            </w:pPr>
            <w:r>
              <w:t>补助对象对工作开展的满意程度</w:t>
            </w:r>
          </w:p>
        </w:tc>
        <w:tc>
          <w:tcPr>
            <w:tcW w:w="1327" w:type="dxa"/>
            <w:vAlign w:val="center"/>
          </w:tcPr>
          <w:p>
            <w:pPr>
              <w:pStyle w:val="19"/>
            </w:pPr>
            <w:r>
              <w:t>≥90%</w:t>
            </w:r>
          </w:p>
        </w:tc>
        <w:tc>
          <w:tcPr>
            <w:tcW w:w="1327" w:type="dxa"/>
            <w:vAlign w:val="center"/>
          </w:tcPr>
          <w:p>
            <w:pPr>
              <w:pStyle w:val="19"/>
            </w:pPr>
            <w:r>
              <w:t>根据实际调查询问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10"/>
      <w:r>
        <w:rPr>
          <w:rFonts w:ascii="方正仿宋_GBK" w:hAnsi="方正仿宋_GBK" w:eastAsia="方正仿宋_GBK" w:cs="方正仿宋_GBK"/>
          <w:color w:val="000000"/>
          <w:sz w:val="28"/>
        </w:rPr>
        <w:t>7.冀财行【2021】109号关于提前下达2022年中央工商行政管理专项补助经费的通知绩效目标表</w:t>
      </w:r>
      <w:bookmarkEnd w:id="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13102422P00779610001R</w:t>
            </w:r>
          </w:p>
        </w:tc>
        <w:tc>
          <w:tcPr>
            <w:tcW w:w="1327" w:type="dxa"/>
            <w:vAlign w:val="center"/>
          </w:tcPr>
          <w:p>
            <w:pPr>
              <w:pStyle w:val="18"/>
            </w:pPr>
            <w:r>
              <w:t>项目名称</w:t>
            </w:r>
          </w:p>
        </w:tc>
        <w:tc>
          <w:tcPr>
            <w:tcW w:w="3981" w:type="dxa"/>
            <w:gridSpan w:val="3"/>
            <w:vAlign w:val="center"/>
          </w:tcPr>
          <w:p>
            <w:pPr>
              <w:pStyle w:val="19"/>
            </w:pPr>
            <w:r>
              <w:t>冀财行【2021】109号关于提前下达2022年中央工商行政管理专项补助经费的通知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30.00</w:t>
            </w:r>
          </w:p>
        </w:tc>
        <w:tc>
          <w:tcPr>
            <w:tcW w:w="1327" w:type="dxa"/>
            <w:vAlign w:val="center"/>
          </w:tcPr>
          <w:p>
            <w:pPr>
              <w:pStyle w:val="18"/>
            </w:pPr>
            <w:r>
              <w:t>其中：财政    资金</w:t>
            </w:r>
          </w:p>
        </w:tc>
        <w:tc>
          <w:tcPr>
            <w:tcW w:w="1327" w:type="dxa"/>
            <w:vAlign w:val="center"/>
          </w:tcPr>
          <w:p>
            <w:pPr>
              <w:pStyle w:val="19"/>
            </w:pPr>
            <w:r>
              <w:t>30.00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下达到我局的2022年中央工商行政管理专项补助经费，用于我局市场监督管理业务开展的专项补助开支。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30%</w:t>
            </w:r>
          </w:p>
        </w:tc>
        <w:tc>
          <w:tcPr>
            <w:tcW w:w="1327" w:type="dxa"/>
            <w:vAlign w:val="center"/>
          </w:tcPr>
          <w:p>
            <w:pPr>
              <w:pStyle w:val="20"/>
            </w:pPr>
            <w:r>
              <w:t>80%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1.开展专项整治行动，优化营商环境，促进市场主体健康发展。</w:t>
            </w:r>
          </w:p>
          <w:p>
            <w:pPr>
              <w:pStyle w:val="19"/>
            </w:pPr>
            <w:r>
              <w:t>2.通过项目的开展，监督管理全县市场主体户数不小于4万户。</w:t>
            </w:r>
          </w:p>
          <w:p>
            <w:pPr>
              <w:pStyle w:val="19"/>
            </w:pPr>
            <w:r>
              <w:t>3.通过项目的开展，市场环境稳中向好，市场主体有所增加。</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监管户数</w:t>
            </w:r>
          </w:p>
        </w:tc>
        <w:tc>
          <w:tcPr>
            <w:tcW w:w="2654" w:type="dxa"/>
            <w:vAlign w:val="center"/>
          </w:tcPr>
          <w:p>
            <w:pPr>
              <w:pStyle w:val="19"/>
            </w:pPr>
            <w:r>
              <w:t>监管市场主体户数</w:t>
            </w:r>
          </w:p>
        </w:tc>
        <w:tc>
          <w:tcPr>
            <w:tcW w:w="1327" w:type="dxa"/>
            <w:vAlign w:val="center"/>
          </w:tcPr>
          <w:p>
            <w:pPr>
              <w:pStyle w:val="19"/>
            </w:pPr>
            <w:r>
              <w:t>≥40000户</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5"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监管执法计划完成率</w:t>
            </w:r>
          </w:p>
        </w:tc>
        <w:tc>
          <w:tcPr>
            <w:tcW w:w="2654" w:type="dxa"/>
            <w:vAlign w:val="center"/>
          </w:tcPr>
          <w:p>
            <w:pPr>
              <w:pStyle w:val="19"/>
            </w:pPr>
            <w:r>
              <w:t>市场监管执法计划完成率</w:t>
            </w:r>
          </w:p>
        </w:tc>
        <w:tc>
          <w:tcPr>
            <w:tcW w:w="1327" w:type="dxa"/>
            <w:vAlign w:val="center"/>
          </w:tcPr>
          <w:p>
            <w:pPr>
              <w:pStyle w:val="19"/>
            </w:pPr>
            <w:r>
              <w:t>≥90百分比</w:t>
            </w:r>
          </w:p>
          <w:p>
            <w:pPr>
              <w:pStyle w:val="19"/>
            </w:pP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5"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完成时间</w:t>
            </w:r>
          </w:p>
        </w:tc>
        <w:tc>
          <w:tcPr>
            <w:tcW w:w="2654" w:type="dxa"/>
            <w:vAlign w:val="center"/>
          </w:tcPr>
          <w:p>
            <w:pPr>
              <w:pStyle w:val="19"/>
            </w:pPr>
            <w:r>
              <w:t>完成时间</w:t>
            </w:r>
          </w:p>
        </w:tc>
        <w:tc>
          <w:tcPr>
            <w:tcW w:w="1327" w:type="dxa"/>
            <w:vAlign w:val="center"/>
          </w:tcPr>
          <w:p>
            <w:pPr>
              <w:pStyle w:val="19"/>
            </w:pPr>
            <w:r>
              <w:t>≤12月</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预算总成本</w:t>
            </w:r>
          </w:p>
        </w:tc>
        <w:tc>
          <w:tcPr>
            <w:tcW w:w="2654" w:type="dxa"/>
            <w:vAlign w:val="center"/>
          </w:tcPr>
          <w:p>
            <w:pPr>
              <w:pStyle w:val="19"/>
            </w:pPr>
            <w:r>
              <w:t>项目预算总成本</w:t>
            </w:r>
          </w:p>
        </w:tc>
        <w:tc>
          <w:tcPr>
            <w:tcW w:w="1327" w:type="dxa"/>
            <w:vAlign w:val="center"/>
          </w:tcPr>
          <w:p>
            <w:pPr>
              <w:pStyle w:val="19"/>
            </w:pPr>
            <w:r>
              <w:t>≤30万元</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规范市场环境</w:t>
            </w:r>
          </w:p>
        </w:tc>
        <w:tc>
          <w:tcPr>
            <w:tcW w:w="2654" w:type="dxa"/>
            <w:vAlign w:val="center"/>
          </w:tcPr>
          <w:p>
            <w:pPr>
              <w:pStyle w:val="19"/>
            </w:pPr>
            <w:r>
              <w:t>市场环境稳定</w:t>
            </w:r>
          </w:p>
        </w:tc>
        <w:tc>
          <w:tcPr>
            <w:tcW w:w="1327" w:type="dxa"/>
            <w:vAlign w:val="center"/>
          </w:tcPr>
          <w:p>
            <w:pPr>
              <w:pStyle w:val="19"/>
            </w:pPr>
            <w:r>
              <w:t>稳中向好，市场主体增加</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影响时效</w:t>
            </w:r>
          </w:p>
        </w:tc>
        <w:tc>
          <w:tcPr>
            <w:tcW w:w="2654" w:type="dxa"/>
            <w:vAlign w:val="center"/>
          </w:tcPr>
          <w:p>
            <w:pPr>
              <w:pStyle w:val="19"/>
            </w:pPr>
            <w:r>
              <w:t>影响时效</w:t>
            </w:r>
          </w:p>
        </w:tc>
        <w:tc>
          <w:tcPr>
            <w:tcW w:w="1327" w:type="dxa"/>
            <w:vAlign w:val="center"/>
          </w:tcPr>
          <w:p>
            <w:pPr>
              <w:pStyle w:val="19"/>
            </w:pPr>
            <w:r>
              <w:t>≥1年</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群众满意度</w:t>
            </w:r>
          </w:p>
        </w:tc>
        <w:tc>
          <w:tcPr>
            <w:tcW w:w="2654" w:type="dxa"/>
            <w:vAlign w:val="center"/>
          </w:tcPr>
          <w:p>
            <w:pPr>
              <w:pStyle w:val="19"/>
            </w:pPr>
            <w:r>
              <w:t>调查问卷中满意人数占总人数的比例</w:t>
            </w:r>
          </w:p>
        </w:tc>
        <w:tc>
          <w:tcPr>
            <w:tcW w:w="1327" w:type="dxa"/>
            <w:vAlign w:val="center"/>
          </w:tcPr>
          <w:p>
            <w:pPr>
              <w:pStyle w:val="19"/>
            </w:pPr>
            <w:r>
              <w:t>≥85百分比</w:t>
            </w:r>
          </w:p>
        </w:tc>
        <w:tc>
          <w:tcPr>
            <w:tcW w:w="1327" w:type="dxa"/>
            <w:vAlign w:val="center"/>
          </w:tcPr>
          <w:p>
            <w:pPr>
              <w:pStyle w:val="19"/>
            </w:pPr>
            <w:r>
              <w:t>根据实际调查询问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11"/>
      <w:r>
        <w:rPr>
          <w:rFonts w:ascii="方正仿宋_GBK" w:hAnsi="方正仿宋_GBK" w:eastAsia="方正仿宋_GBK" w:cs="方正仿宋_GBK"/>
          <w:color w:val="000000"/>
          <w:sz w:val="28"/>
        </w:rPr>
        <w:t>8.冀财行【2021】111号关于提前下达2022年市场监管专项补助经费的通知绩效目标表</w:t>
      </w:r>
      <w:bookmarkEnd w:id="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13102422P00779710001F</w:t>
            </w:r>
          </w:p>
        </w:tc>
        <w:tc>
          <w:tcPr>
            <w:tcW w:w="1327" w:type="dxa"/>
            <w:vAlign w:val="center"/>
          </w:tcPr>
          <w:p>
            <w:pPr>
              <w:pStyle w:val="18"/>
            </w:pPr>
            <w:r>
              <w:t>项目名称</w:t>
            </w:r>
          </w:p>
        </w:tc>
        <w:tc>
          <w:tcPr>
            <w:tcW w:w="3981" w:type="dxa"/>
            <w:gridSpan w:val="3"/>
            <w:vAlign w:val="center"/>
          </w:tcPr>
          <w:p>
            <w:pPr>
              <w:pStyle w:val="19"/>
            </w:pPr>
            <w:r>
              <w:t>冀财行【2021】111号关于提前下达2022年市场监管专项补助经费的通知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11.00</w:t>
            </w:r>
          </w:p>
        </w:tc>
        <w:tc>
          <w:tcPr>
            <w:tcW w:w="1327" w:type="dxa"/>
            <w:vAlign w:val="center"/>
          </w:tcPr>
          <w:p>
            <w:pPr>
              <w:pStyle w:val="18"/>
            </w:pPr>
            <w:r>
              <w:t>其中：财政    资金</w:t>
            </w:r>
          </w:p>
        </w:tc>
        <w:tc>
          <w:tcPr>
            <w:tcW w:w="1327" w:type="dxa"/>
            <w:vAlign w:val="center"/>
          </w:tcPr>
          <w:p>
            <w:pPr>
              <w:pStyle w:val="19"/>
            </w:pPr>
            <w:r>
              <w:t>11.00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下达到我局的2022年市场监管专项补助经费，用于我局市场监督管理业务开展的专项补助开支。</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15%</w:t>
            </w:r>
          </w:p>
        </w:tc>
        <w:tc>
          <w:tcPr>
            <w:tcW w:w="1327" w:type="dxa"/>
            <w:vAlign w:val="center"/>
          </w:tcPr>
          <w:p>
            <w:pPr>
              <w:pStyle w:val="20"/>
            </w:pPr>
            <w:r>
              <w:t>30%</w:t>
            </w:r>
          </w:p>
        </w:tc>
        <w:tc>
          <w:tcPr>
            <w:tcW w:w="1327" w:type="dxa"/>
            <w:vAlign w:val="center"/>
          </w:tcPr>
          <w:p>
            <w:pPr>
              <w:pStyle w:val="20"/>
            </w:pPr>
            <w:r>
              <w:t>60%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1.通过项目的开展，深入开展市场监督管理，加大市场监管力度。</w:t>
            </w:r>
          </w:p>
          <w:p>
            <w:pPr>
              <w:pStyle w:val="19"/>
            </w:pPr>
            <w:r>
              <w:t>2.通过项目的开展，加强信用监管，推进市场主体信用体系建设，维护公平竞争的市场秩序，促进社会和谐稳定。</w:t>
            </w:r>
          </w:p>
          <w:p>
            <w:pPr>
              <w:pStyle w:val="19"/>
            </w:pPr>
            <w:r>
              <w:t>3.开展专项整治行动，优化营商环境，促进市场主体健康发展。</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市场专项整治行动次数</w:t>
            </w:r>
          </w:p>
        </w:tc>
        <w:tc>
          <w:tcPr>
            <w:tcW w:w="2654" w:type="dxa"/>
            <w:vAlign w:val="center"/>
          </w:tcPr>
          <w:p>
            <w:pPr>
              <w:pStyle w:val="19"/>
            </w:pPr>
            <w:r>
              <w:t>市场专项整治行动次数</w:t>
            </w:r>
          </w:p>
        </w:tc>
        <w:tc>
          <w:tcPr>
            <w:tcW w:w="1327" w:type="dxa"/>
            <w:vAlign w:val="center"/>
          </w:tcPr>
          <w:p>
            <w:pPr>
              <w:pStyle w:val="19"/>
            </w:pPr>
            <w:r>
              <w:t>≥5次</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监管执法计划完成率</w:t>
            </w:r>
          </w:p>
        </w:tc>
        <w:tc>
          <w:tcPr>
            <w:tcW w:w="2654" w:type="dxa"/>
            <w:vAlign w:val="center"/>
          </w:tcPr>
          <w:p>
            <w:pPr>
              <w:pStyle w:val="19"/>
            </w:pPr>
            <w:r>
              <w:t>市场监管执法计划完成率</w:t>
            </w:r>
          </w:p>
        </w:tc>
        <w:tc>
          <w:tcPr>
            <w:tcW w:w="1327" w:type="dxa"/>
            <w:vAlign w:val="center"/>
          </w:tcPr>
          <w:p>
            <w:pPr>
              <w:pStyle w:val="19"/>
            </w:pPr>
            <w:r>
              <w:t>≥90百分比</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完成时间</w:t>
            </w:r>
          </w:p>
        </w:tc>
        <w:tc>
          <w:tcPr>
            <w:tcW w:w="2654" w:type="dxa"/>
            <w:vAlign w:val="center"/>
          </w:tcPr>
          <w:p>
            <w:pPr>
              <w:pStyle w:val="19"/>
            </w:pPr>
            <w:r>
              <w:t>完成时间</w:t>
            </w:r>
          </w:p>
        </w:tc>
        <w:tc>
          <w:tcPr>
            <w:tcW w:w="1327" w:type="dxa"/>
            <w:vAlign w:val="center"/>
          </w:tcPr>
          <w:p>
            <w:pPr>
              <w:pStyle w:val="19"/>
            </w:pPr>
            <w:r>
              <w:t>≤12月</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预算总成本</w:t>
            </w:r>
          </w:p>
        </w:tc>
        <w:tc>
          <w:tcPr>
            <w:tcW w:w="2654" w:type="dxa"/>
            <w:vAlign w:val="center"/>
          </w:tcPr>
          <w:p>
            <w:pPr>
              <w:pStyle w:val="19"/>
            </w:pPr>
            <w:r>
              <w:t>项目预算总成本</w:t>
            </w:r>
          </w:p>
        </w:tc>
        <w:tc>
          <w:tcPr>
            <w:tcW w:w="1327" w:type="dxa"/>
            <w:vAlign w:val="center"/>
          </w:tcPr>
          <w:p>
            <w:pPr>
              <w:pStyle w:val="19"/>
            </w:pPr>
            <w:r>
              <w:t>≤11万</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重大案件发生次数</w:t>
            </w:r>
          </w:p>
        </w:tc>
        <w:tc>
          <w:tcPr>
            <w:tcW w:w="2654" w:type="dxa"/>
            <w:vAlign w:val="center"/>
          </w:tcPr>
          <w:p>
            <w:pPr>
              <w:pStyle w:val="19"/>
            </w:pPr>
            <w:r>
              <w:t>重大案件发生次数</w:t>
            </w:r>
          </w:p>
        </w:tc>
        <w:tc>
          <w:tcPr>
            <w:tcW w:w="1327" w:type="dxa"/>
            <w:vAlign w:val="center"/>
          </w:tcPr>
          <w:p>
            <w:pPr>
              <w:pStyle w:val="19"/>
            </w:pPr>
            <w:r>
              <w:t>等于0次</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影响时效</w:t>
            </w:r>
          </w:p>
        </w:tc>
        <w:tc>
          <w:tcPr>
            <w:tcW w:w="2654" w:type="dxa"/>
            <w:vAlign w:val="center"/>
          </w:tcPr>
          <w:p>
            <w:pPr>
              <w:pStyle w:val="19"/>
            </w:pPr>
            <w:r>
              <w:t>影响时效</w:t>
            </w:r>
          </w:p>
        </w:tc>
        <w:tc>
          <w:tcPr>
            <w:tcW w:w="1327" w:type="dxa"/>
            <w:vAlign w:val="center"/>
          </w:tcPr>
          <w:p>
            <w:pPr>
              <w:pStyle w:val="19"/>
            </w:pPr>
            <w:r>
              <w:t>≥1年</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群众满意度</w:t>
            </w:r>
          </w:p>
        </w:tc>
        <w:tc>
          <w:tcPr>
            <w:tcW w:w="2654" w:type="dxa"/>
            <w:vAlign w:val="center"/>
          </w:tcPr>
          <w:p>
            <w:pPr>
              <w:pStyle w:val="19"/>
            </w:pPr>
            <w:r>
              <w:t>调查问卷中满意人数占总人数的比例</w:t>
            </w:r>
          </w:p>
        </w:tc>
        <w:tc>
          <w:tcPr>
            <w:tcW w:w="1327" w:type="dxa"/>
            <w:vAlign w:val="center"/>
          </w:tcPr>
          <w:p>
            <w:pPr>
              <w:pStyle w:val="19"/>
            </w:pPr>
            <w:r>
              <w:t>≥85百分比</w:t>
            </w:r>
          </w:p>
        </w:tc>
        <w:tc>
          <w:tcPr>
            <w:tcW w:w="1327" w:type="dxa"/>
            <w:vAlign w:val="center"/>
          </w:tcPr>
          <w:p>
            <w:pPr>
              <w:pStyle w:val="19"/>
            </w:pPr>
            <w:r>
              <w:t>根据实际调查询问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12"/>
      <w:r>
        <w:rPr>
          <w:rFonts w:ascii="方正仿宋_GBK" w:hAnsi="方正仿宋_GBK" w:eastAsia="方正仿宋_GBK" w:cs="方正仿宋_GBK"/>
          <w:color w:val="000000"/>
          <w:sz w:val="28"/>
        </w:rPr>
        <w:t>9.冀财预（2021）74号在职人员工资绩效目标表</w:t>
      </w:r>
      <w:bookmarkEnd w:id="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13102422P00796210045T</w:t>
            </w:r>
          </w:p>
        </w:tc>
        <w:tc>
          <w:tcPr>
            <w:tcW w:w="1327" w:type="dxa"/>
            <w:vAlign w:val="center"/>
          </w:tcPr>
          <w:p>
            <w:pPr>
              <w:pStyle w:val="18"/>
            </w:pPr>
            <w:r>
              <w:t>项目名称</w:t>
            </w:r>
          </w:p>
        </w:tc>
        <w:tc>
          <w:tcPr>
            <w:tcW w:w="3981" w:type="dxa"/>
            <w:gridSpan w:val="3"/>
            <w:vAlign w:val="center"/>
          </w:tcPr>
          <w:p>
            <w:pPr>
              <w:pStyle w:val="19"/>
            </w:pPr>
            <w: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125.15</w:t>
            </w:r>
          </w:p>
        </w:tc>
        <w:tc>
          <w:tcPr>
            <w:tcW w:w="1327" w:type="dxa"/>
            <w:vAlign w:val="center"/>
          </w:tcPr>
          <w:p>
            <w:pPr>
              <w:pStyle w:val="18"/>
            </w:pPr>
            <w:r>
              <w:t>其中：财政    资金</w:t>
            </w:r>
          </w:p>
        </w:tc>
        <w:tc>
          <w:tcPr>
            <w:tcW w:w="1327" w:type="dxa"/>
            <w:vAlign w:val="center"/>
          </w:tcPr>
          <w:p>
            <w:pPr>
              <w:pStyle w:val="19"/>
            </w:pPr>
            <w:r>
              <w:t>125.15</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用于财编在职人员的2022年2月份工资。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100%</w:t>
            </w:r>
          </w:p>
        </w:tc>
        <w:tc>
          <w:tcPr>
            <w:tcW w:w="1327" w:type="dxa"/>
            <w:vAlign w:val="center"/>
          </w:tcPr>
          <w:p>
            <w:pPr>
              <w:pStyle w:val="20"/>
            </w:pPr>
            <w:r>
              <w:t>100%</w:t>
            </w:r>
          </w:p>
        </w:tc>
        <w:tc>
          <w:tcPr>
            <w:tcW w:w="1327" w:type="dxa"/>
            <w:vAlign w:val="center"/>
          </w:tcPr>
          <w:p>
            <w:pPr>
              <w:pStyle w:val="20"/>
            </w:pPr>
            <w:r>
              <w:t>100%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1.及时准确支付2月份财拨在职人员工资，支付工资人数183人。</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发放工资人数</w:t>
            </w:r>
          </w:p>
        </w:tc>
        <w:tc>
          <w:tcPr>
            <w:tcW w:w="2654" w:type="dxa"/>
            <w:vAlign w:val="center"/>
          </w:tcPr>
          <w:p>
            <w:pPr>
              <w:pStyle w:val="19"/>
            </w:pPr>
            <w:r>
              <w:t>向在职人员支付工资的人数</w:t>
            </w:r>
          </w:p>
        </w:tc>
        <w:tc>
          <w:tcPr>
            <w:tcW w:w="1327" w:type="dxa"/>
            <w:vAlign w:val="center"/>
          </w:tcPr>
          <w:p>
            <w:pPr>
              <w:pStyle w:val="19"/>
            </w:pPr>
            <w:r>
              <w:t>183人</w:t>
            </w:r>
          </w:p>
        </w:tc>
        <w:tc>
          <w:tcPr>
            <w:tcW w:w="1327" w:type="dxa"/>
            <w:vAlign w:val="center"/>
          </w:tcPr>
          <w:p>
            <w:pPr>
              <w:pStyle w:val="19"/>
            </w:pPr>
            <w:r>
              <w:t>2022年2月份在职人员工资表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发放准确率</w:t>
            </w:r>
          </w:p>
        </w:tc>
        <w:tc>
          <w:tcPr>
            <w:tcW w:w="2654" w:type="dxa"/>
            <w:vAlign w:val="center"/>
          </w:tcPr>
          <w:p>
            <w:pPr>
              <w:pStyle w:val="19"/>
            </w:pPr>
            <w:r>
              <w:t>向在职人员支付工资的准确程度</w:t>
            </w:r>
          </w:p>
        </w:tc>
        <w:tc>
          <w:tcPr>
            <w:tcW w:w="1327" w:type="dxa"/>
            <w:vAlign w:val="center"/>
          </w:tcPr>
          <w:p>
            <w:pPr>
              <w:pStyle w:val="19"/>
            </w:pPr>
            <w:r>
              <w:t>100百分比</w:t>
            </w:r>
          </w:p>
        </w:tc>
        <w:tc>
          <w:tcPr>
            <w:tcW w:w="1327" w:type="dxa"/>
            <w:vAlign w:val="center"/>
          </w:tcPr>
          <w:p>
            <w:pPr>
              <w:pStyle w:val="19"/>
            </w:pPr>
            <w:r>
              <w:t>2022年2月份在职人员工资表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发放及时率</w:t>
            </w:r>
          </w:p>
        </w:tc>
        <w:tc>
          <w:tcPr>
            <w:tcW w:w="2654" w:type="dxa"/>
            <w:vAlign w:val="center"/>
          </w:tcPr>
          <w:p>
            <w:pPr>
              <w:pStyle w:val="19"/>
            </w:pPr>
            <w:r>
              <w:t>及时发放工资人数占应发放人数的比率</w:t>
            </w:r>
          </w:p>
        </w:tc>
        <w:tc>
          <w:tcPr>
            <w:tcW w:w="1327" w:type="dxa"/>
            <w:vAlign w:val="center"/>
          </w:tcPr>
          <w:p>
            <w:pPr>
              <w:pStyle w:val="19"/>
            </w:pPr>
            <w:r>
              <w:t>100百分比</w:t>
            </w:r>
          </w:p>
        </w:tc>
        <w:tc>
          <w:tcPr>
            <w:tcW w:w="1327" w:type="dxa"/>
            <w:vAlign w:val="center"/>
          </w:tcPr>
          <w:p>
            <w:pPr>
              <w:pStyle w:val="19"/>
            </w:pPr>
            <w:r>
              <w:t>2022年2月份在职人员工资表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成本控制数</w:t>
            </w:r>
          </w:p>
        </w:tc>
        <w:tc>
          <w:tcPr>
            <w:tcW w:w="2654" w:type="dxa"/>
            <w:vAlign w:val="center"/>
          </w:tcPr>
          <w:p>
            <w:pPr>
              <w:pStyle w:val="19"/>
            </w:pPr>
            <w:r>
              <w:t>实际支出是否控制在预算成本之内</w:t>
            </w:r>
          </w:p>
        </w:tc>
        <w:tc>
          <w:tcPr>
            <w:tcW w:w="1327" w:type="dxa"/>
            <w:vAlign w:val="center"/>
          </w:tcPr>
          <w:p>
            <w:pPr>
              <w:pStyle w:val="19"/>
            </w:pPr>
            <w:r>
              <w:t>≤125.16万元</w:t>
            </w:r>
          </w:p>
        </w:tc>
        <w:tc>
          <w:tcPr>
            <w:tcW w:w="1327" w:type="dxa"/>
            <w:vAlign w:val="center"/>
          </w:tcPr>
          <w:p>
            <w:pPr>
              <w:pStyle w:val="19"/>
            </w:pPr>
            <w:r>
              <w:t>2022年2月份在职人员工资表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机关正常运转天数</w:t>
            </w:r>
          </w:p>
        </w:tc>
        <w:tc>
          <w:tcPr>
            <w:tcW w:w="2654" w:type="dxa"/>
            <w:vAlign w:val="center"/>
          </w:tcPr>
          <w:p>
            <w:pPr>
              <w:pStyle w:val="19"/>
            </w:pPr>
            <w:r>
              <w:t>保障机关单位日常业务正常开展的情况</w:t>
            </w:r>
          </w:p>
        </w:tc>
        <w:tc>
          <w:tcPr>
            <w:tcW w:w="1327" w:type="dxa"/>
            <w:vAlign w:val="center"/>
          </w:tcPr>
          <w:p>
            <w:pPr>
              <w:pStyle w:val="19"/>
            </w:pPr>
            <w:r>
              <w:t>≥28天</w:t>
            </w:r>
          </w:p>
        </w:tc>
        <w:tc>
          <w:tcPr>
            <w:tcW w:w="1327" w:type="dxa"/>
            <w:vAlign w:val="center"/>
          </w:tcPr>
          <w:p>
            <w:pPr>
              <w:pStyle w:val="19"/>
            </w:pPr>
            <w:r>
              <w:t>经费使用达到的预期效果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保障部门职责正常履行</w:t>
            </w:r>
          </w:p>
        </w:tc>
        <w:tc>
          <w:tcPr>
            <w:tcW w:w="2654" w:type="dxa"/>
            <w:vAlign w:val="center"/>
          </w:tcPr>
          <w:p>
            <w:pPr>
              <w:pStyle w:val="19"/>
            </w:pPr>
            <w:r>
              <w:t>保障部门职责正常履行</w:t>
            </w:r>
          </w:p>
        </w:tc>
        <w:tc>
          <w:tcPr>
            <w:tcW w:w="1327" w:type="dxa"/>
            <w:vAlign w:val="center"/>
          </w:tcPr>
          <w:p>
            <w:pPr>
              <w:pStyle w:val="19"/>
            </w:pPr>
            <w:r>
              <w:t>正常履行</w:t>
            </w:r>
          </w:p>
        </w:tc>
        <w:tc>
          <w:tcPr>
            <w:tcW w:w="1327" w:type="dxa"/>
            <w:vAlign w:val="center"/>
          </w:tcPr>
          <w:p>
            <w:pPr>
              <w:pStyle w:val="19"/>
            </w:pPr>
            <w:r>
              <w:t>经费使用达到的预期效果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人员满意度</w:t>
            </w:r>
          </w:p>
        </w:tc>
        <w:tc>
          <w:tcPr>
            <w:tcW w:w="2654" w:type="dxa"/>
            <w:vAlign w:val="center"/>
          </w:tcPr>
          <w:p>
            <w:pPr>
              <w:pStyle w:val="19"/>
            </w:pPr>
            <w:r>
              <w:t>在职人员的满意程度</w:t>
            </w:r>
          </w:p>
        </w:tc>
        <w:tc>
          <w:tcPr>
            <w:tcW w:w="1327" w:type="dxa"/>
            <w:vAlign w:val="center"/>
          </w:tcPr>
          <w:p>
            <w:pPr>
              <w:pStyle w:val="19"/>
            </w:pPr>
            <w:r>
              <w:t>≥90百分比</w:t>
            </w:r>
          </w:p>
          <w:p>
            <w:pPr>
              <w:pStyle w:val="19"/>
            </w:pPr>
          </w:p>
        </w:tc>
        <w:tc>
          <w:tcPr>
            <w:tcW w:w="1327" w:type="dxa"/>
            <w:vAlign w:val="center"/>
          </w:tcPr>
          <w:p>
            <w:pPr>
              <w:pStyle w:val="19"/>
            </w:pPr>
            <w:r>
              <w:t>调查问卷</w:t>
            </w:r>
          </w:p>
          <w:p>
            <w:pPr>
              <w:pStyle w:val="19"/>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13"/>
      <w:r>
        <w:rPr>
          <w:rFonts w:ascii="方正仿宋_GBK" w:hAnsi="方正仿宋_GBK" w:eastAsia="方正仿宋_GBK" w:cs="方正仿宋_GBK"/>
          <w:color w:val="000000"/>
          <w:sz w:val="28"/>
        </w:rPr>
        <w:t>10.企业公示信息抽查经费绩效目标表</w:t>
      </w:r>
      <w:bookmarkEnd w:id="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13102422P0080LW100026</w:t>
            </w:r>
          </w:p>
        </w:tc>
        <w:tc>
          <w:tcPr>
            <w:tcW w:w="1327" w:type="dxa"/>
            <w:vAlign w:val="center"/>
          </w:tcPr>
          <w:p>
            <w:pPr>
              <w:pStyle w:val="18"/>
            </w:pPr>
            <w:r>
              <w:t>项目名称</w:t>
            </w:r>
          </w:p>
        </w:tc>
        <w:tc>
          <w:tcPr>
            <w:tcW w:w="3981" w:type="dxa"/>
            <w:gridSpan w:val="3"/>
            <w:vAlign w:val="center"/>
          </w:tcPr>
          <w:p>
            <w:pPr>
              <w:pStyle w:val="19"/>
            </w:pPr>
            <w:r>
              <w:t>企业公示信息抽查经费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75.00</w:t>
            </w:r>
          </w:p>
        </w:tc>
        <w:tc>
          <w:tcPr>
            <w:tcW w:w="1327" w:type="dxa"/>
            <w:vAlign w:val="center"/>
          </w:tcPr>
          <w:p>
            <w:pPr>
              <w:pStyle w:val="18"/>
            </w:pPr>
            <w:r>
              <w:t>其中：财政    资金</w:t>
            </w:r>
          </w:p>
        </w:tc>
        <w:tc>
          <w:tcPr>
            <w:tcW w:w="1327" w:type="dxa"/>
            <w:vAlign w:val="center"/>
          </w:tcPr>
          <w:p>
            <w:pPr>
              <w:pStyle w:val="19"/>
            </w:pPr>
            <w:r>
              <w:t>75.00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对企业公示信息进行抽查，按照省市县三级局年度抽查计划组织开展双随机抽查工作，安排此项目用于对被抽查到的部分（约45%）企业和农民专业合作社公示信息的审计抽查。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30%</w:t>
            </w:r>
          </w:p>
        </w:tc>
        <w:tc>
          <w:tcPr>
            <w:tcW w:w="1327" w:type="dxa"/>
            <w:vAlign w:val="center"/>
          </w:tcPr>
          <w:p>
            <w:pPr>
              <w:pStyle w:val="20"/>
            </w:pPr>
            <w:r>
              <w:t>60%</w:t>
            </w:r>
          </w:p>
        </w:tc>
        <w:tc>
          <w:tcPr>
            <w:tcW w:w="1327" w:type="dxa"/>
            <w:vAlign w:val="center"/>
          </w:tcPr>
          <w:p>
            <w:pPr>
              <w:pStyle w:val="20"/>
            </w:pPr>
            <w:r>
              <w:t>90%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1.为促进我县诚信自律，规范企业信息公示，提高政府监管效能，通过项目的开展实现对市场主体公示信息抽查的目标，保障对违法失信市场主体“一处违法，处处受限”监管目标的实现。</w:t>
            </w:r>
          </w:p>
          <w:p>
            <w:pPr>
              <w:pStyle w:val="19"/>
            </w:pPr>
            <w:r>
              <w:t>2.通过项目的开展提高信息公示的规范性，实现对违法失信的市场主体的联合惩戒和信用约束。</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779"/>
        <w:gridCol w:w="1202"/>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779" w:type="dxa"/>
            <w:vAlign w:val="center"/>
          </w:tcPr>
          <w:p>
            <w:pPr>
              <w:pStyle w:val="18"/>
            </w:pPr>
            <w:r>
              <w:t>绩效指标描述</w:t>
            </w:r>
          </w:p>
        </w:tc>
        <w:tc>
          <w:tcPr>
            <w:tcW w:w="1202"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公示信息审计批次</w:t>
            </w:r>
          </w:p>
        </w:tc>
        <w:tc>
          <w:tcPr>
            <w:tcW w:w="2779" w:type="dxa"/>
            <w:vAlign w:val="center"/>
          </w:tcPr>
          <w:p>
            <w:pPr>
              <w:pStyle w:val="19"/>
            </w:pPr>
            <w:r>
              <w:t>企业和农民专业合作社年报信息和即时信息审计批次</w:t>
            </w:r>
          </w:p>
        </w:tc>
        <w:tc>
          <w:tcPr>
            <w:tcW w:w="1202" w:type="dxa"/>
            <w:vAlign w:val="center"/>
          </w:tcPr>
          <w:p>
            <w:pPr>
              <w:pStyle w:val="19"/>
            </w:pPr>
            <w:r>
              <w:t>≥6批次</w:t>
            </w:r>
          </w:p>
        </w:tc>
        <w:tc>
          <w:tcPr>
            <w:tcW w:w="1327" w:type="dxa"/>
            <w:vAlign w:val="center"/>
          </w:tcPr>
          <w:p>
            <w:pPr>
              <w:pStyle w:val="19"/>
            </w:pPr>
            <w:r>
              <w:rPr>
                <w:sz w:val="15"/>
                <w:szCs w:val="15"/>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数量指标</w:t>
            </w:r>
          </w:p>
        </w:tc>
        <w:tc>
          <w:tcPr>
            <w:tcW w:w="1327" w:type="dxa"/>
            <w:vAlign w:val="center"/>
          </w:tcPr>
          <w:p>
            <w:pPr>
              <w:pStyle w:val="19"/>
            </w:pPr>
            <w:r>
              <w:t>抽查比例</w:t>
            </w:r>
          </w:p>
        </w:tc>
        <w:tc>
          <w:tcPr>
            <w:tcW w:w="2779" w:type="dxa"/>
            <w:vAlign w:val="center"/>
          </w:tcPr>
          <w:p>
            <w:pPr>
              <w:pStyle w:val="19"/>
            </w:pPr>
            <w:r>
              <w:t>抽查企业和农民专业合作社数量占总数的比例</w:t>
            </w:r>
          </w:p>
        </w:tc>
        <w:tc>
          <w:tcPr>
            <w:tcW w:w="1202" w:type="dxa"/>
            <w:vAlign w:val="center"/>
          </w:tcPr>
          <w:p>
            <w:pPr>
              <w:pStyle w:val="19"/>
            </w:pPr>
            <w:r>
              <w:t>≥3%</w:t>
            </w:r>
          </w:p>
        </w:tc>
        <w:tc>
          <w:tcPr>
            <w:tcW w:w="1327" w:type="dxa"/>
            <w:vAlign w:val="center"/>
          </w:tcPr>
          <w:p>
            <w:pPr>
              <w:pStyle w:val="19"/>
              <w:rPr>
                <w:sz w:val="15"/>
                <w:szCs w:val="15"/>
              </w:rPr>
            </w:pPr>
            <w:r>
              <w:rPr>
                <w:sz w:val="15"/>
                <w:szCs w:val="15"/>
              </w:rPr>
              <w:t>《企业信息公示抽查暂行办法》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信用修复率</w:t>
            </w:r>
          </w:p>
        </w:tc>
        <w:tc>
          <w:tcPr>
            <w:tcW w:w="2779" w:type="dxa"/>
            <w:vAlign w:val="center"/>
          </w:tcPr>
          <w:p>
            <w:pPr>
              <w:pStyle w:val="19"/>
            </w:pPr>
            <w:r>
              <w:t>信用信息修复的户数占列入经营异常名录户数的比率</w:t>
            </w:r>
          </w:p>
        </w:tc>
        <w:tc>
          <w:tcPr>
            <w:tcW w:w="1202" w:type="dxa"/>
            <w:vAlign w:val="center"/>
          </w:tcPr>
          <w:p>
            <w:pPr>
              <w:pStyle w:val="19"/>
            </w:pPr>
            <w:r>
              <w:t>≥20%</w:t>
            </w:r>
          </w:p>
        </w:tc>
        <w:tc>
          <w:tcPr>
            <w:tcW w:w="1327" w:type="dxa"/>
            <w:vAlign w:val="center"/>
          </w:tcPr>
          <w:p>
            <w:pPr>
              <w:pStyle w:val="19"/>
              <w:rPr>
                <w:sz w:val="15"/>
                <w:szCs w:val="15"/>
              </w:rPr>
            </w:pPr>
            <w:r>
              <w:rPr>
                <w:sz w:val="15"/>
                <w:szCs w:val="15"/>
              </w:rPr>
              <w:t>《企业信息公示暂行条例》、历史数据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完成及时性</w:t>
            </w:r>
          </w:p>
        </w:tc>
        <w:tc>
          <w:tcPr>
            <w:tcW w:w="2779" w:type="dxa"/>
            <w:vAlign w:val="center"/>
          </w:tcPr>
          <w:p>
            <w:pPr>
              <w:pStyle w:val="19"/>
            </w:pPr>
            <w:r>
              <w:t>完成年报信息和即时信息抽查审计工作时间</w:t>
            </w:r>
          </w:p>
        </w:tc>
        <w:tc>
          <w:tcPr>
            <w:tcW w:w="1202" w:type="dxa"/>
            <w:vAlign w:val="center"/>
          </w:tcPr>
          <w:p>
            <w:pPr>
              <w:pStyle w:val="19"/>
            </w:pPr>
            <w:r>
              <w:t>≤12月</w:t>
            </w:r>
          </w:p>
        </w:tc>
        <w:tc>
          <w:tcPr>
            <w:tcW w:w="1327" w:type="dxa"/>
            <w:vAlign w:val="center"/>
          </w:tcPr>
          <w:p>
            <w:pPr>
              <w:pStyle w:val="19"/>
              <w:rPr>
                <w:sz w:val="15"/>
                <w:szCs w:val="15"/>
              </w:rPr>
            </w:pPr>
            <w:r>
              <w:rPr>
                <w:sz w:val="15"/>
                <w:szCs w:val="15"/>
              </w:rPr>
              <w:t>根据工作计划和审计委托合同约定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审计成本</w:t>
            </w:r>
          </w:p>
        </w:tc>
        <w:tc>
          <w:tcPr>
            <w:tcW w:w="2779" w:type="dxa"/>
            <w:vAlign w:val="center"/>
          </w:tcPr>
          <w:p>
            <w:pPr>
              <w:pStyle w:val="19"/>
            </w:pPr>
            <w:r>
              <w:t>公示信息每户审计成本</w:t>
            </w:r>
          </w:p>
        </w:tc>
        <w:tc>
          <w:tcPr>
            <w:tcW w:w="1202" w:type="dxa"/>
            <w:vAlign w:val="center"/>
          </w:tcPr>
          <w:p>
            <w:pPr>
              <w:pStyle w:val="19"/>
            </w:pPr>
            <w:r>
              <w:t>≤0.3万元</w:t>
            </w:r>
          </w:p>
        </w:tc>
        <w:tc>
          <w:tcPr>
            <w:tcW w:w="1327" w:type="dxa"/>
            <w:vAlign w:val="center"/>
          </w:tcPr>
          <w:p>
            <w:pPr>
              <w:pStyle w:val="19"/>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提高信息公示规范性</w:t>
            </w:r>
          </w:p>
        </w:tc>
        <w:tc>
          <w:tcPr>
            <w:tcW w:w="2779" w:type="dxa"/>
            <w:vAlign w:val="center"/>
          </w:tcPr>
          <w:p>
            <w:pPr>
              <w:pStyle w:val="19"/>
            </w:pPr>
            <w:r>
              <w:t>通过公示信息抽查工作，促进了企业公示信息规范</w:t>
            </w:r>
          </w:p>
        </w:tc>
        <w:tc>
          <w:tcPr>
            <w:tcW w:w="1202" w:type="dxa"/>
            <w:vAlign w:val="center"/>
          </w:tcPr>
          <w:p>
            <w:pPr>
              <w:pStyle w:val="19"/>
            </w:pPr>
            <w:r>
              <w:t>提高</w:t>
            </w:r>
          </w:p>
        </w:tc>
        <w:tc>
          <w:tcPr>
            <w:tcW w:w="1327" w:type="dxa"/>
            <w:vAlign w:val="center"/>
          </w:tcPr>
          <w:p>
            <w:pPr>
              <w:pStyle w:val="19"/>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779" w:type="dxa"/>
            <w:vAlign w:val="center"/>
          </w:tcPr>
          <w:p>
            <w:pPr>
              <w:pStyle w:val="19"/>
            </w:pPr>
            <w:r>
              <w:t>考核项目单位相关管理机制的建立健全情况</w:t>
            </w:r>
          </w:p>
        </w:tc>
        <w:tc>
          <w:tcPr>
            <w:tcW w:w="1202" w:type="dxa"/>
            <w:vAlign w:val="center"/>
          </w:tcPr>
          <w:p>
            <w:pPr>
              <w:pStyle w:val="19"/>
            </w:pPr>
            <w:r>
              <w:t>健全</w:t>
            </w:r>
          </w:p>
        </w:tc>
        <w:tc>
          <w:tcPr>
            <w:tcW w:w="1327" w:type="dxa"/>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人民群众社会公众满意度满意度%</w:t>
            </w:r>
          </w:p>
        </w:tc>
        <w:tc>
          <w:tcPr>
            <w:tcW w:w="2779" w:type="dxa"/>
            <w:vAlign w:val="center"/>
          </w:tcPr>
          <w:p>
            <w:pPr>
              <w:pStyle w:val="19"/>
            </w:pPr>
            <w:r>
              <w:t>社会公众对工作开展的满意程度</w:t>
            </w:r>
          </w:p>
        </w:tc>
        <w:tc>
          <w:tcPr>
            <w:tcW w:w="1202" w:type="dxa"/>
            <w:vAlign w:val="center"/>
          </w:tcPr>
          <w:p>
            <w:pPr>
              <w:pStyle w:val="19"/>
            </w:pPr>
            <w:r>
              <w:t>≥90%</w:t>
            </w:r>
          </w:p>
        </w:tc>
        <w:tc>
          <w:tcPr>
            <w:tcW w:w="1327" w:type="dxa"/>
            <w:vAlign w:val="center"/>
          </w:tcPr>
          <w:p>
            <w:pPr>
              <w:pStyle w:val="19"/>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14"/>
      <w:r>
        <w:rPr>
          <w:rFonts w:ascii="方正仿宋_GBK" w:hAnsi="方正仿宋_GBK" w:eastAsia="方正仿宋_GBK" w:cs="方正仿宋_GBK"/>
          <w:color w:val="000000"/>
          <w:sz w:val="28"/>
        </w:rPr>
        <w:t>11.散煤整治资金绩效目标表</w:t>
      </w:r>
      <w:bookmarkEnd w:id="1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13102422P0071KE10002L</w:t>
            </w:r>
          </w:p>
        </w:tc>
        <w:tc>
          <w:tcPr>
            <w:tcW w:w="1327" w:type="dxa"/>
            <w:vAlign w:val="center"/>
          </w:tcPr>
          <w:p>
            <w:pPr>
              <w:pStyle w:val="18"/>
            </w:pPr>
            <w:r>
              <w:t>项目名称</w:t>
            </w:r>
          </w:p>
        </w:tc>
        <w:tc>
          <w:tcPr>
            <w:tcW w:w="3981" w:type="dxa"/>
            <w:gridSpan w:val="3"/>
            <w:vAlign w:val="center"/>
          </w:tcPr>
          <w:p>
            <w:pPr>
              <w:pStyle w:val="19"/>
            </w:pPr>
            <w:r>
              <w:t>散煤整治资金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2.00</w:t>
            </w:r>
          </w:p>
        </w:tc>
        <w:tc>
          <w:tcPr>
            <w:tcW w:w="1327" w:type="dxa"/>
            <w:vAlign w:val="center"/>
          </w:tcPr>
          <w:p>
            <w:pPr>
              <w:pStyle w:val="18"/>
            </w:pPr>
            <w:r>
              <w:t>其中：财政    资金</w:t>
            </w:r>
          </w:p>
        </w:tc>
        <w:tc>
          <w:tcPr>
            <w:tcW w:w="1327" w:type="dxa"/>
            <w:vAlign w:val="center"/>
          </w:tcPr>
          <w:p>
            <w:pPr>
              <w:pStyle w:val="19"/>
            </w:pPr>
            <w:r>
              <w:t>2.00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用于推进绿色发展，统筹管控劣质散煤市场和劣质散煤输入管控，加强对生产、加工、销售等环节监管，取缔散煤销售网点，严厉打击违法销售劣质散煤行为。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30%</w:t>
            </w:r>
          </w:p>
        </w:tc>
        <w:tc>
          <w:tcPr>
            <w:tcW w:w="1327" w:type="dxa"/>
            <w:vAlign w:val="center"/>
          </w:tcPr>
          <w:p>
            <w:pPr>
              <w:pStyle w:val="20"/>
            </w:pPr>
            <w:r>
              <w:t>50%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1.为贯彻落实大气污染防治法，推进绿色发展，统筹劣质散煤市场和劣质散煤输入管控，促进全县大气环境改善。</w:t>
            </w:r>
          </w:p>
          <w:p>
            <w:pPr>
              <w:pStyle w:val="19"/>
            </w:pPr>
            <w:r>
              <w:t>2.开展散煤管控宣传次数至少2次，宣传治理成本控制在2万元以内，确保工作及时完成。</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宣传次数</w:t>
            </w:r>
          </w:p>
        </w:tc>
        <w:tc>
          <w:tcPr>
            <w:tcW w:w="2654" w:type="dxa"/>
            <w:vAlign w:val="center"/>
          </w:tcPr>
          <w:p>
            <w:pPr>
              <w:pStyle w:val="19"/>
            </w:pPr>
            <w:r>
              <w:t>散煤管控宣传次数</w:t>
            </w:r>
          </w:p>
        </w:tc>
        <w:tc>
          <w:tcPr>
            <w:tcW w:w="1327" w:type="dxa"/>
            <w:vAlign w:val="center"/>
          </w:tcPr>
          <w:p>
            <w:pPr>
              <w:pStyle w:val="19"/>
            </w:pPr>
            <w:r>
              <w:t>≥2次</w:t>
            </w:r>
          </w:p>
        </w:tc>
        <w:tc>
          <w:tcPr>
            <w:tcW w:w="1327" w:type="dxa"/>
            <w:vAlign w:val="center"/>
          </w:tcPr>
          <w:p>
            <w:pPr>
              <w:pStyle w:val="19"/>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宣传覆盖率</w:t>
            </w:r>
          </w:p>
        </w:tc>
        <w:tc>
          <w:tcPr>
            <w:tcW w:w="2654" w:type="dxa"/>
            <w:vAlign w:val="center"/>
          </w:tcPr>
          <w:p>
            <w:pPr>
              <w:pStyle w:val="19"/>
            </w:pPr>
            <w:r>
              <w:t>宣传覆盖程度</w:t>
            </w:r>
          </w:p>
        </w:tc>
        <w:tc>
          <w:tcPr>
            <w:tcW w:w="1327" w:type="dxa"/>
            <w:vAlign w:val="center"/>
          </w:tcPr>
          <w:p>
            <w:pPr>
              <w:pStyle w:val="19"/>
            </w:pPr>
            <w:r>
              <w:t>≥90%</w:t>
            </w:r>
          </w:p>
        </w:tc>
        <w:tc>
          <w:tcPr>
            <w:tcW w:w="1327" w:type="dxa"/>
            <w:vAlign w:val="center"/>
          </w:tcPr>
          <w:p>
            <w:pPr>
              <w:pStyle w:val="19"/>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宣传及时性</w:t>
            </w:r>
          </w:p>
        </w:tc>
        <w:tc>
          <w:tcPr>
            <w:tcW w:w="2654" w:type="dxa"/>
            <w:vAlign w:val="center"/>
          </w:tcPr>
          <w:p>
            <w:pPr>
              <w:pStyle w:val="19"/>
            </w:pPr>
            <w:r>
              <w:t>考核散煤宣传的及时程度</w:t>
            </w:r>
          </w:p>
        </w:tc>
        <w:tc>
          <w:tcPr>
            <w:tcW w:w="1327" w:type="dxa"/>
            <w:vAlign w:val="center"/>
          </w:tcPr>
          <w:p>
            <w:pPr>
              <w:pStyle w:val="19"/>
            </w:pPr>
            <w:r>
              <w:t>≤12月</w:t>
            </w:r>
          </w:p>
        </w:tc>
        <w:tc>
          <w:tcPr>
            <w:tcW w:w="1327" w:type="dxa"/>
            <w:vAlign w:val="center"/>
          </w:tcPr>
          <w:p>
            <w:pPr>
              <w:pStyle w:val="19"/>
            </w:pPr>
            <w:r>
              <w:t>宣传照片，财务资料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治理成本</w:t>
            </w:r>
          </w:p>
        </w:tc>
        <w:tc>
          <w:tcPr>
            <w:tcW w:w="2654" w:type="dxa"/>
            <w:vAlign w:val="center"/>
          </w:tcPr>
          <w:p>
            <w:pPr>
              <w:pStyle w:val="19"/>
            </w:pPr>
            <w:r>
              <w:t>年度治理成本控制在总成本以内</w:t>
            </w:r>
          </w:p>
        </w:tc>
        <w:tc>
          <w:tcPr>
            <w:tcW w:w="1327" w:type="dxa"/>
            <w:vAlign w:val="center"/>
          </w:tcPr>
          <w:p>
            <w:pPr>
              <w:pStyle w:val="19"/>
            </w:pPr>
            <w:r>
              <w:t>≤2万元</w:t>
            </w:r>
          </w:p>
        </w:tc>
        <w:tc>
          <w:tcPr>
            <w:tcW w:w="1327" w:type="dxa"/>
            <w:vAlign w:val="center"/>
          </w:tcPr>
          <w:p>
            <w:pPr>
              <w:pStyle w:val="19"/>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散煤禁售知晓率</w:t>
            </w:r>
          </w:p>
        </w:tc>
        <w:tc>
          <w:tcPr>
            <w:tcW w:w="2654" w:type="dxa"/>
            <w:vAlign w:val="center"/>
          </w:tcPr>
          <w:p>
            <w:pPr>
              <w:pStyle w:val="19"/>
            </w:pPr>
            <w:r>
              <w:t>群众对散煤禁售宣传的知晓程度</w:t>
            </w:r>
          </w:p>
        </w:tc>
        <w:tc>
          <w:tcPr>
            <w:tcW w:w="1327" w:type="dxa"/>
            <w:vAlign w:val="center"/>
          </w:tcPr>
          <w:p>
            <w:pPr>
              <w:pStyle w:val="19"/>
            </w:pPr>
            <w:r>
              <w:t>≥90%</w:t>
            </w:r>
          </w:p>
        </w:tc>
        <w:tc>
          <w:tcPr>
            <w:tcW w:w="1327" w:type="dxa"/>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考核项目单位相关管理机制的建立健全情况</w:t>
            </w:r>
          </w:p>
        </w:tc>
        <w:tc>
          <w:tcPr>
            <w:tcW w:w="1327" w:type="dxa"/>
            <w:vAlign w:val="center"/>
          </w:tcPr>
          <w:p>
            <w:pPr>
              <w:pStyle w:val="19"/>
            </w:pPr>
            <w:r>
              <w:t>健全</w:t>
            </w:r>
          </w:p>
        </w:tc>
        <w:tc>
          <w:tcPr>
            <w:tcW w:w="1327" w:type="dxa"/>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群众满意度</w:t>
            </w:r>
          </w:p>
        </w:tc>
        <w:tc>
          <w:tcPr>
            <w:tcW w:w="2654" w:type="dxa"/>
            <w:vAlign w:val="center"/>
          </w:tcPr>
          <w:p>
            <w:pPr>
              <w:pStyle w:val="19"/>
            </w:pPr>
            <w:r>
              <w:t>调查中满意的人数占调查总数的比率</w:t>
            </w:r>
          </w:p>
        </w:tc>
        <w:tc>
          <w:tcPr>
            <w:tcW w:w="1327" w:type="dxa"/>
            <w:vAlign w:val="center"/>
          </w:tcPr>
          <w:p>
            <w:pPr>
              <w:pStyle w:val="19"/>
            </w:pPr>
            <w:r>
              <w:t>≥90%</w:t>
            </w:r>
          </w:p>
        </w:tc>
        <w:tc>
          <w:tcPr>
            <w:tcW w:w="1327" w:type="dxa"/>
            <w:vAlign w:val="center"/>
          </w:tcPr>
          <w:p>
            <w:pPr>
              <w:pStyle w:val="19"/>
            </w:pPr>
            <w:r>
              <w:t>根据实际调查询问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5"/>
      <w:r>
        <w:rPr>
          <w:rFonts w:ascii="方正仿宋_GBK" w:hAnsi="方正仿宋_GBK" w:eastAsia="方正仿宋_GBK" w:cs="方正仿宋_GBK"/>
          <w:color w:val="000000"/>
          <w:sz w:val="28"/>
        </w:rPr>
        <w:t>12.伤残军人张金福医药费资金绩效目标表</w:t>
      </w:r>
      <w:bookmarkEnd w:id="1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13102422P005J4710002Y</w:t>
            </w:r>
          </w:p>
        </w:tc>
        <w:tc>
          <w:tcPr>
            <w:tcW w:w="1327" w:type="dxa"/>
            <w:vAlign w:val="center"/>
          </w:tcPr>
          <w:p>
            <w:pPr>
              <w:pStyle w:val="18"/>
            </w:pPr>
            <w:r>
              <w:t>项目名称</w:t>
            </w:r>
          </w:p>
        </w:tc>
        <w:tc>
          <w:tcPr>
            <w:tcW w:w="3981" w:type="dxa"/>
            <w:gridSpan w:val="3"/>
            <w:vAlign w:val="center"/>
          </w:tcPr>
          <w:p>
            <w:pPr>
              <w:pStyle w:val="19"/>
            </w:pPr>
            <w:r>
              <w:t>伤残军人张金福医药费资金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9.00</w:t>
            </w:r>
          </w:p>
        </w:tc>
        <w:tc>
          <w:tcPr>
            <w:tcW w:w="1327" w:type="dxa"/>
            <w:vAlign w:val="center"/>
          </w:tcPr>
          <w:p>
            <w:pPr>
              <w:pStyle w:val="18"/>
            </w:pPr>
            <w:r>
              <w:t>其中：财政    资金</w:t>
            </w:r>
          </w:p>
        </w:tc>
        <w:tc>
          <w:tcPr>
            <w:tcW w:w="1327" w:type="dxa"/>
            <w:vAlign w:val="center"/>
          </w:tcPr>
          <w:p>
            <w:pPr>
              <w:pStyle w:val="19"/>
            </w:pPr>
            <w:r>
              <w:t>9.00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据实报销张金福个人负担部分医药费.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50%</w:t>
            </w:r>
          </w:p>
        </w:tc>
        <w:tc>
          <w:tcPr>
            <w:tcW w:w="1327" w:type="dxa"/>
            <w:vAlign w:val="center"/>
          </w:tcPr>
          <w:p>
            <w:pPr>
              <w:pStyle w:val="20"/>
            </w:pPr>
            <w:r>
              <w:t>90%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1.通过项目的开展，贯彻落实上级文件精神，落实归属我局伤残军人医疗补助，减轻伤残军人经济负担。</w:t>
            </w:r>
          </w:p>
          <w:p>
            <w:pPr>
              <w:pStyle w:val="19"/>
            </w:pPr>
            <w:r>
              <w:t>2.通过项目的开展，及时足额报销伤残军人张金福个人承担部分医药费用，减轻伤残军人经济负担，提高归属我局管理的伤残军人医疗补助满意度。</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报销医药费的伤残军人数</w:t>
            </w:r>
          </w:p>
        </w:tc>
        <w:tc>
          <w:tcPr>
            <w:tcW w:w="2654" w:type="dxa"/>
            <w:vAlign w:val="center"/>
          </w:tcPr>
          <w:p>
            <w:pPr>
              <w:pStyle w:val="19"/>
            </w:pPr>
            <w:r>
              <w:t>报销医药费的伤残军人数</w:t>
            </w:r>
          </w:p>
        </w:tc>
        <w:tc>
          <w:tcPr>
            <w:tcW w:w="1327" w:type="dxa"/>
            <w:vAlign w:val="center"/>
          </w:tcPr>
          <w:p>
            <w:pPr>
              <w:pStyle w:val="19"/>
            </w:pPr>
            <w:r>
              <w:t>1人</w:t>
            </w:r>
          </w:p>
        </w:tc>
        <w:tc>
          <w:tcPr>
            <w:tcW w:w="1327" w:type="dxa"/>
            <w:vAlign w:val="center"/>
          </w:tcPr>
          <w:p>
            <w:pPr>
              <w:pStyle w:val="19"/>
            </w:pPr>
            <w:r>
              <w:t>根据实际需要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医药费补助到位率</w:t>
            </w:r>
          </w:p>
        </w:tc>
        <w:tc>
          <w:tcPr>
            <w:tcW w:w="2654" w:type="dxa"/>
            <w:vAlign w:val="center"/>
          </w:tcPr>
          <w:p>
            <w:pPr>
              <w:pStyle w:val="19"/>
            </w:pPr>
            <w:r>
              <w:t>实际报销金额占应报销金额的比例</w:t>
            </w:r>
          </w:p>
        </w:tc>
        <w:tc>
          <w:tcPr>
            <w:tcW w:w="1327" w:type="dxa"/>
            <w:vAlign w:val="center"/>
          </w:tcPr>
          <w:p>
            <w:pPr>
              <w:pStyle w:val="19"/>
            </w:pPr>
            <w:r>
              <w:t>100%</w:t>
            </w:r>
          </w:p>
        </w:tc>
        <w:tc>
          <w:tcPr>
            <w:tcW w:w="1327" w:type="dxa"/>
            <w:vAlign w:val="center"/>
          </w:tcPr>
          <w:p>
            <w:pPr>
              <w:pStyle w:val="19"/>
              <w:rPr>
                <w:sz w:val="13"/>
                <w:szCs w:val="13"/>
              </w:rPr>
            </w:pPr>
            <w:r>
              <w:rPr>
                <w:sz w:val="13"/>
                <w:szCs w:val="13"/>
              </w:rPr>
              <w:t>《香河县一至六级伤残军人医疗保障实施办法》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及时性</w:t>
            </w:r>
          </w:p>
        </w:tc>
        <w:tc>
          <w:tcPr>
            <w:tcW w:w="2654" w:type="dxa"/>
            <w:vAlign w:val="center"/>
          </w:tcPr>
          <w:p>
            <w:pPr>
              <w:pStyle w:val="19"/>
            </w:pPr>
            <w:r>
              <w:t>及时报销张金福当年度个人承担部分医疗费</w:t>
            </w:r>
          </w:p>
        </w:tc>
        <w:tc>
          <w:tcPr>
            <w:tcW w:w="1327" w:type="dxa"/>
            <w:vAlign w:val="center"/>
          </w:tcPr>
          <w:p>
            <w:pPr>
              <w:pStyle w:val="19"/>
            </w:pPr>
            <w:r>
              <w:t>≤12月</w:t>
            </w:r>
          </w:p>
        </w:tc>
        <w:tc>
          <w:tcPr>
            <w:tcW w:w="1327" w:type="dxa"/>
            <w:vAlign w:val="center"/>
          </w:tcPr>
          <w:p>
            <w:pPr>
              <w:pStyle w:val="19"/>
              <w:rPr>
                <w:sz w:val="13"/>
                <w:szCs w:val="13"/>
              </w:rPr>
            </w:pPr>
            <w:r>
              <w:rPr>
                <w:sz w:val="13"/>
                <w:szCs w:val="13"/>
              </w:rPr>
              <w:t>《香河县一至六级伤残军人医疗保障实施办法》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单位成本控制率</w:t>
            </w:r>
          </w:p>
        </w:tc>
        <w:tc>
          <w:tcPr>
            <w:tcW w:w="2654" w:type="dxa"/>
            <w:vAlign w:val="center"/>
          </w:tcPr>
          <w:p>
            <w:pPr>
              <w:pStyle w:val="19"/>
            </w:pPr>
            <w:r>
              <w:t>单次报销金额不超每次提供报销单据应报销金额</w:t>
            </w:r>
          </w:p>
        </w:tc>
        <w:tc>
          <w:tcPr>
            <w:tcW w:w="1327" w:type="dxa"/>
            <w:vAlign w:val="center"/>
          </w:tcPr>
          <w:p>
            <w:pPr>
              <w:pStyle w:val="19"/>
            </w:pPr>
            <w:r>
              <w:t>单次标准</w:t>
            </w:r>
          </w:p>
        </w:tc>
        <w:tc>
          <w:tcPr>
            <w:tcW w:w="1327" w:type="dxa"/>
            <w:vAlign w:val="center"/>
          </w:tcPr>
          <w:p>
            <w:pPr>
              <w:pStyle w:val="19"/>
            </w:pPr>
            <w:r>
              <w:t>报销明细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应补尽补率</w:t>
            </w:r>
          </w:p>
        </w:tc>
        <w:tc>
          <w:tcPr>
            <w:tcW w:w="2654" w:type="dxa"/>
            <w:vAlign w:val="center"/>
          </w:tcPr>
          <w:p>
            <w:pPr>
              <w:pStyle w:val="19"/>
            </w:pPr>
            <w:r>
              <w:t>实际得到医疗补助的人数占我局按政策应得到医疗补助人数的比率</w:t>
            </w:r>
          </w:p>
        </w:tc>
        <w:tc>
          <w:tcPr>
            <w:tcW w:w="1327" w:type="dxa"/>
            <w:vAlign w:val="center"/>
          </w:tcPr>
          <w:p>
            <w:pPr>
              <w:pStyle w:val="19"/>
            </w:pPr>
            <w:r>
              <w:t>100%</w:t>
            </w:r>
          </w:p>
        </w:tc>
        <w:tc>
          <w:tcPr>
            <w:tcW w:w="1327" w:type="dxa"/>
            <w:vAlign w:val="center"/>
          </w:tcPr>
          <w:p>
            <w:pPr>
              <w:pStyle w:val="19"/>
            </w:pPr>
            <w:r>
              <w:t>六级伤残证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经济效益指标</w:t>
            </w:r>
          </w:p>
        </w:tc>
        <w:tc>
          <w:tcPr>
            <w:tcW w:w="1327" w:type="dxa"/>
            <w:vAlign w:val="center"/>
          </w:tcPr>
          <w:p>
            <w:pPr>
              <w:pStyle w:val="19"/>
            </w:pPr>
            <w:r>
              <w:t>减轻伤残军人经济负担</w:t>
            </w:r>
          </w:p>
        </w:tc>
        <w:tc>
          <w:tcPr>
            <w:tcW w:w="2654" w:type="dxa"/>
            <w:vAlign w:val="center"/>
          </w:tcPr>
          <w:p>
            <w:pPr>
              <w:pStyle w:val="19"/>
            </w:pPr>
            <w:r>
              <w:t>减轻伤残军人经济负担情况</w:t>
            </w:r>
          </w:p>
        </w:tc>
        <w:tc>
          <w:tcPr>
            <w:tcW w:w="1327" w:type="dxa"/>
            <w:vAlign w:val="center"/>
          </w:tcPr>
          <w:p>
            <w:pPr>
              <w:pStyle w:val="19"/>
            </w:pPr>
            <w:r>
              <w:t>≤9万元</w:t>
            </w:r>
          </w:p>
        </w:tc>
        <w:tc>
          <w:tcPr>
            <w:tcW w:w="1327" w:type="dxa"/>
            <w:vAlign w:val="center"/>
          </w:tcPr>
          <w:p>
            <w:pPr>
              <w:pStyle w:val="19"/>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持续时长</w:t>
            </w:r>
          </w:p>
        </w:tc>
        <w:tc>
          <w:tcPr>
            <w:tcW w:w="2654" w:type="dxa"/>
            <w:vAlign w:val="center"/>
          </w:tcPr>
          <w:p>
            <w:pPr>
              <w:pStyle w:val="19"/>
            </w:pPr>
            <w:r>
              <w:t>项目持续发挥作用年限</w:t>
            </w:r>
          </w:p>
        </w:tc>
        <w:tc>
          <w:tcPr>
            <w:tcW w:w="1327" w:type="dxa"/>
            <w:vAlign w:val="center"/>
          </w:tcPr>
          <w:p>
            <w:pPr>
              <w:pStyle w:val="19"/>
            </w:pPr>
            <w:r>
              <w:t>1年</w:t>
            </w:r>
          </w:p>
        </w:tc>
        <w:tc>
          <w:tcPr>
            <w:tcW w:w="1327" w:type="dxa"/>
            <w:vAlign w:val="center"/>
          </w:tcPr>
          <w:p>
            <w:pPr>
              <w:pStyle w:val="19"/>
            </w:pPr>
            <w:r>
              <w:rPr>
                <w:sz w:val="15"/>
                <w:szCs w:val="15"/>
              </w:rPr>
              <w:t>《香河县一至六级伤残军人医疗保障实施办法》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2654" w:type="dxa"/>
            <w:vAlign w:val="center"/>
          </w:tcPr>
          <w:p>
            <w:pPr>
              <w:pStyle w:val="19"/>
            </w:pPr>
            <w:r>
              <w:t>报销对象对报销药费工作的综合满意度</w:t>
            </w:r>
          </w:p>
        </w:tc>
        <w:tc>
          <w:tcPr>
            <w:tcW w:w="1327" w:type="dxa"/>
            <w:vAlign w:val="center"/>
          </w:tcPr>
          <w:p>
            <w:pPr>
              <w:pStyle w:val="19"/>
            </w:pPr>
            <w:r>
              <w:t>≥85%</w:t>
            </w:r>
          </w:p>
        </w:tc>
        <w:tc>
          <w:tcPr>
            <w:tcW w:w="1327" w:type="dxa"/>
            <w:vAlign w:val="center"/>
          </w:tcPr>
          <w:p>
            <w:pPr>
              <w:pStyle w:val="19"/>
            </w:pPr>
            <w:r>
              <w:t>根据实际调查询问结果</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16"/>
      <w:r>
        <w:rPr>
          <w:rFonts w:ascii="方正仿宋_GBK" w:hAnsi="方正仿宋_GBK" w:eastAsia="方正仿宋_GBK" w:cs="方正仿宋_GBK"/>
          <w:color w:val="000000"/>
          <w:sz w:val="28"/>
        </w:rPr>
        <w:t>13.商标专利补助资金绩效目标表</w:t>
      </w:r>
      <w:bookmarkEnd w:id="1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13102422P00A87510002Q</w:t>
            </w:r>
          </w:p>
        </w:tc>
        <w:tc>
          <w:tcPr>
            <w:tcW w:w="1327" w:type="dxa"/>
            <w:vAlign w:val="center"/>
          </w:tcPr>
          <w:p>
            <w:pPr>
              <w:pStyle w:val="18"/>
            </w:pPr>
            <w:r>
              <w:t>项目名称</w:t>
            </w:r>
          </w:p>
        </w:tc>
        <w:tc>
          <w:tcPr>
            <w:tcW w:w="3981" w:type="dxa"/>
            <w:gridSpan w:val="3"/>
            <w:vAlign w:val="center"/>
          </w:tcPr>
          <w:p>
            <w:pPr>
              <w:pStyle w:val="19"/>
            </w:pPr>
            <w:r>
              <w:t>商标专利补助资金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50.00</w:t>
            </w:r>
          </w:p>
        </w:tc>
        <w:tc>
          <w:tcPr>
            <w:tcW w:w="1327" w:type="dxa"/>
            <w:vAlign w:val="center"/>
          </w:tcPr>
          <w:p>
            <w:pPr>
              <w:pStyle w:val="18"/>
            </w:pPr>
            <w:r>
              <w:t>其中：财政    资金</w:t>
            </w:r>
          </w:p>
        </w:tc>
        <w:tc>
          <w:tcPr>
            <w:tcW w:w="1327" w:type="dxa"/>
            <w:vAlign w:val="center"/>
          </w:tcPr>
          <w:p>
            <w:pPr>
              <w:pStyle w:val="19"/>
            </w:pPr>
            <w:r>
              <w:t>50.00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对2021年度内获得授权证书的国内发明专利、PCT专利、国家地理标志商标、知识产权贯标、专利保险等项目进行资助、奖励，香河县市场监督管理局知识产权管理保护股按照资金管理办法要求对相关材料进行审核，确定并发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30%</w:t>
            </w:r>
          </w:p>
        </w:tc>
        <w:tc>
          <w:tcPr>
            <w:tcW w:w="1327" w:type="dxa"/>
            <w:vAlign w:val="center"/>
          </w:tcPr>
          <w:p>
            <w:pPr>
              <w:pStyle w:val="20"/>
            </w:pPr>
            <w:r>
              <w:t>60%</w:t>
            </w:r>
          </w:p>
        </w:tc>
        <w:tc>
          <w:tcPr>
            <w:tcW w:w="1327" w:type="dxa"/>
            <w:vAlign w:val="center"/>
          </w:tcPr>
          <w:p>
            <w:pPr>
              <w:pStyle w:val="20"/>
            </w:pPr>
            <w:r>
              <w:t>90%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rPr>
                <w:lang w:eastAsia="zh-CN"/>
              </w:rPr>
            </w:pPr>
            <w:r>
              <w:t>促进我县自主创新成果知识产权化，鼓励发明创造和申请专利、商标的积极性，进一步提升城市创新能力</w:t>
            </w:r>
            <w:r>
              <w:rPr>
                <w:rFonts w:hint="eastAsia"/>
                <w:lang w:eastAsia="zh-CN"/>
              </w:rPr>
              <w:t>。</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授权发明专利补贴数量</w:t>
            </w:r>
          </w:p>
        </w:tc>
        <w:tc>
          <w:tcPr>
            <w:tcW w:w="2654" w:type="dxa"/>
            <w:vAlign w:val="center"/>
          </w:tcPr>
          <w:p>
            <w:pPr>
              <w:pStyle w:val="19"/>
            </w:pPr>
            <w:r>
              <w:t>本年度补贴授权发明专利数量</w:t>
            </w:r>
          </w:p>
        </w:tc>
        <w:tc>
          <w:tcPr>
            <w:tcW w:w="1327" w:type="dxa"/>
            <w:vAlign w:val="center"/>
          </w:tcPr>
          <w:p>
            <w:pPr>
              <w:pStyle w:val="19"/>
            </w:pPr>
            <w:r>
              <w:t>≥16个</w:t>
            </w:r>
          </w:p>
        </w:tc>
        <w:tc>
          <w:tcPr>
            <w:tcW w:w="1327" w:type="dxa"/>
            <w:vAlign w:val="center"/>
          </w:tcPr>
          <w:p>
            <w:pPr>
              <w:pStyle w:val="19"/>
              <w:rPr>
                <w:sz w:val="15"/>
                <w:szCs w:val="15"/>
              </w:rPr>
            </w:pPr>
            <w:r>
              <w:rPr>
                <w:sz w:val="15"/>
                <w:szCs w:val="15"/>
              </w:rPr>
              <w:t>廊坊市各县市区2021年1-10月专利情况表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数量指标</w:t>
            </w:r>
          </w:p>
        </w:tc>
        <w:tc>
          <w:tcPr>
            <w:tcW w:w="1327" w:type="dxa"/>
            <w:vAlign w:val="center"/>
          </w:tcPr>
          <w:p>
            <w:pPr>
              <w:pStyle w:val="19"/>
            </w:pPr>
            <w:r>
              <w:t>知识产权贯标企业补贴数量</w:t>
            </w:r>
          </w:p>
        </w:tc>
        <w:tc>
          <w:tcPr>
            <w:tcW w:w="2654" w:type="dxa"/>
            <w:vAlign w:val="center"/>
          </w:tcPr>
          <w:p>
            <w:pPr>
              <w:pStyle w:val="19"/>
            </w:pPr>
            <w:r>
              <w:t>本年度补贴知识产权贯标企业数量</w:t>
            </w:r>
          </w:p>
        </w:tc>
        <w:tc>
          <w:tcPr>
            <w:tcW w:w="1327" w:type="dxa"/>
            <w:vAlign w:val="center"/>
          </w:tcPr>
          <w:p>
            <w:pPr>
              <w:pStyle w:val="19"/>
            </w:pPr>
            <w:r>
              <w:t>≥3家</w:t>
            </w:r>
          </w:p>
        </w:tc>
        <w:tc>
          <w:tcPr>
            <w:tcW w:w="1327" w:type="dxa"/>
            <w:vAlign w:val="center"/>
          </w:tcPr>
          <w:p>
            <w:pPr>
              <w:pStyle w:val="19"/>
              <w:rPr>
                <w:sz w:val="15"/>
                <w:szCs w:val="15"/>
              </w:rPr>
            </w:pPr>
            <w:r>
              <w:rPr>
                <w:sz w:val="15"/>
                <w:szCs w:val="15"/>
              </w:rPr>
              <w:t>拟申报企业知识产权管理体系认证证书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补贴发放准确率</w:t>
            </w:r>
          </w:p>
        </w:tc>
        <w:tc>
          <w:tcPr>
            <w:tcW w:w="2654" w:type="dxa"/>
            <w:vAlign w:val="center"/>
          </w:tcPr>
          <w:p>
            <w:pPr>
              <w:pStyle w:val="19"/>
            </w:pPr>
            <w:r>
              <w:t>准确发放补贴金额占全部补贴金额</w:t>
            </w:r>
          </w:p>
        </w:tc>
        <w:tc>
          <w:tcPr>
            <w:tcW w:w="1327" w:type="dxa"/>
            <w:vAlign w:val="center"/>
          </w:tcPr>
          <w:p>
            <w:pPr>
              <w:pStyle w:val="19"/>
            </w:pPr>
            <w:r>
              <w:t>100百分比</w:t>
            </w:r>
          </w:p>
        </w:tc>
        <w:tc>
          <w:tcPr>
            <w:tcW w:w="1327" w:type="dxa"/>
            <w:vAlign w:val="center"/>
          </w:tcPr>
          <w:p>
            <w:pPr>
              <w:pStyle w:val="19"/>
              <w:rPr>
                <w:sz w:val="15"/>
                <w:szCs w:val="15"/>
              </w:rPr>
            </w:pPr>
            <w:r>
              <w:rPr>
                <w:sz w:val="15"/>
                <w:szCs w:val="15"/>
              </w:rPr>
              <w:t>根据年度工作计划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补贴发放时间</w:t>
            </w:r>
          </w:p>
        </w:tc>
        <w:tc>
          <w:tcPr>
            <w:tcW w:w="2654" w:type="dxa"/>
            <w:vAlign w:val="center"/>
          </w:tcPr>
          <w:p>
            <w:pPr>
              <w:pStyle w:val="19"/>
            </w:pPr>
            <w:r>
              <w:t>商标专利补助资金发放时间</w:t>
            </w:r>
          </w:p>
        </w:tc>
        <w:tc>
          <w:tcPr>
            <w:tcW w:w="1327" w:type="dxa"/>
            <w:vAlign w:val="center"/>
          </w:tcPr>
          <w:p>
            <w:pPr>
              <w:pStyle w:val="19"/>
            </w:pPr>
            <w:r>
              <w:t>≤11月</w:t>
            </w:r>
          </w:p>
        </w:tc>
        <w:tc>
          <w:tcPr>
            <w:tcW w:w="1327" w:type="dxa"/>
            <w:vAlign w:val="center"/>
          </w:tcPr>
          <w:p>
            <w:pPr>
              <w:pStyle w:val="19"/>
              <w:rPr>
                <w:sz w:val="15"/>
                <w:szCs w:val="15"/>
              </w:rPr>
            </w:pPr>
            <w:r>
              <w:rPr>
                <w:sz w:val="15"/>
                <w:szCs w:val="15"/>
              </w:rPr>
              <w:t>根据年度工作计划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单位补贴成本</w:t>
            </w:r>
          </w:p>
        </w:tc>
        <w:tc>
          <w:tcPr>
            <w:tcW w:w="2654" w:type="dxa"/>
            <w:vAlign w:val="center"/>
          </w:tcPr>
          <w:p>
            <w:pPr>
              <w:pStyle w:val="19"/>
            </w:pPr>
            <w:r>
              <w:t>单位补贴成本与文件规定标准一致。</w:t>
            </w:r>
          </w:p>
        </w:tc>
        <w:tc>
          <w:tcPr>
            <w:tcW w:w="1327" w:type="dxa"/>
            <w:vAlign w:val="center"/>
          </w:tcPr>
          <w:p>
            <w:pPr>
              <w:pStyle w:val="19"/>
            </w:pPr>
            <w:r>
              <w:t>文件标准</w:t>
            </w:r>
          </w:p>
        </w:tc>
        <w:tc>
          <w:tcPr>
            <w:tcW w:w="1327" w:type="dxa"/>
            <w:vAlign w:val="center"/>
          </w:tcPr>
          <w:p>
            <w:pPr>
              <w:pStyle w:val="19"/>
              <w:rPr>
                <w:sz w:val="15"/>
                <w:szCs w:val="15"/>
              </w:rPr>
            </w:pPr>
            <w:r>
              <w:rPr>
                <w:sz w:val="15"/>
                <w:szCs w:val="15"/>
              </w:rPr>
              <w:t>《香河县人民政府办公室关于印发香河县商标、专利专项资金管理办法的通知》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万人发明专利拥有量</w:t>
            </w:r>
          </w:p>
        </w:tc>
        <w:tc>
          <w:tcPr>
            <w:tcW w:w="2654" w:type="dxa"/>
            <w:vAlign w:val="center"/>
          </w:tcPr>
          <w:p>
            <w:pPr>
              <w:pStyle w:val="19"/>
            </w:pPr>
            <w:r>
              <w:t>每万人拥有发明专利量</w:t>
            </w:r>
          </w:p>
        </w:tc>
        <w:tc>
          <w:tcPr>
            <w:tcW w:w="1327" w:type="dxa"/>
            <w:vAlign w:val="center"/>
          </w:tcPr>
          <w:p>
            <w:pPr>
              <w:pStyle w:val="19"/>
            </w:pPr>
            <w:r>
              <w:t>≥1.9件</w:t>
            </w:r>
          </w:p>
        </w:tc>
        <w:tc>
          <w:tcPr>
            <w:tcW w:w="1327" w:type="dxa"/>
            <w:vAlign w:val="center"/>
          </w:tcPr>
          <w:p>
            <w:pPr>
              <w:pStyle w:val="19"/>
              <w:rPr>
                <w:sz w:val="15"/>
                <w:szCs w:val="15"/>
              </w:rPr>
            </w:pPr>
            <w:r>
              <w:rPr>
                <w:sz w:val="15"/>
                <w:szCs w:val="15"/>
              </w:rPr>
              <w:t>市委组织部对我县考核工作评价细则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考核项目单位相关管理机制的建立健全情况</w:t>
            </w:r>
          </w:p>
        </w:tc>
        <w:tc>
          <w:tcPr>
            <w:tcW w:w="1327" w:type="dxa"/>
            <w:vAlign w:val="center"/>
          </w:tcPr>
          <w:p>
            <w:pPr>
              <w:pStyle w:val="19"/>
            </w:pPr>
            <w:r>
              <w:t>健全</w:t>
            </w:r>
          </w:p>
        </w:tc>
        <w:tc>
          <w:tcPr>
            <w:tcW w:w="1327" w:type="dxa"/>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社会公众满意度</w:t>
            </w:r>
          </w:p>
        </w:tc>
        <w:tc>
          <w:tcPr>
            <w:tcW w:w="2654" w:type="dxa"/>
            <w:vAlign w:val="center"/>
          </w:tcPr>
          <w:p>
            <w:pPr>
              <w:pStyle w:val="19"/>
            </w:pPr>
            <w:r>
              <w:t>社会公众对项目开展的满意程度</w:t>
            </w:r>
          </w:p>
        </w:tc>
        <w:tc>
          <w:tcPr>
            <w:tcW w:w="1327" w:type="dxa"/>
            <w:vAlign w:val="center"/>
          </w:tcPr>
          <w:p>
            <w:pPr>
              <w:pStyle w:val="19"/>
            </w:pPr>
            <w:r>
              <w:t>≥90百分比</w:t>
            </w:r>
          </w:p>
        </w:tc>
        <w:tc>
          <w:tcPr>
            <w:tcW w:w="1327" w:type="dxa"/>
            <w:vAlign w:val="center"/>
          </w:tcPr>
          <w:p>
            <w:pPr>
              <w:pStyle w:val="19"/>
            </w:pPr>
            <w:r>
              <w:t>根据实际调查询问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17"/>
      <w:r>
        <w:rPr>
          <w:rFonts w:ascii="方正仿宋_GBK" w:hAnsi="方正仿宋_GBK" w:eastAsia="方正仿宋_GBK" w:cs="方正仿宋_GBK"/>
          <w:color w:val="000000"/>
          <w:sz w:val="28"/>
        </w:rPr>
        <w:t>14.涉企收费补助绩效目标表</w:t>
      </w:r>
      <w:bookmarkEnd w:id="1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13102422P007U1U10002M</w:t>
            </w:r>
          </w:p>
        </w:tc>
        <w:tc>
          <w:tcPr>
            <w:tcW w:w="1327" w:type="dxa"/>
            <w:vAlign w:val="center"/>
          </w:tcPr>
          <w:p>
            <w:pPr>
              <w:pStyle w:val="18"/>
            </w:pPr>
            <w:r>
              <w:t>项目名称</w:t>
            </w:r>
          </w:p>
        </w:tc>
        <w:tc>
          <w:tcPr>
            <w:tcW w:w="3981" w:type="dxa"/>
            <w:gridSpan w:val="3"/>
            <w:vAlign w:val="center"/>
          </w:tcPr>
          <w:p>
            <w:pPr>
              <w:pStyle w:val="19"/>
            </w:pPr>
            <w:r>
              <w:t>涉企收费补助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240.00</w:t>
            </w:r>
          </w:p>
        </w:tc>
        <w:tc>
          <w:tcPr>
            <w:tcW w:w="1327" w:type="dxa"/>
            <w:vAlign w:val="center"/>
          </w:tcPr>
          <w:p>
            <w:pPr>
              <w:pStyle w:val="18"/>
            </w:pPr>
            <w:r>
              <w:t>其中：财政    资金</w:t>
            </w:r>
          </w:p>
        </w:tc>
        <w:tc>
          <w:tcPr>
            <w:tcW w:w="1327" w:type="dxa"/>
            <w:vAlign w:val="center"/>
          </w:tcPr>
          <w:p>
            <w:pPr>
              <w:pStyle w:val="19"/>
            </w:pPr>
            <w:r>
              <w:t>240.00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用于原个体协会、原私营企业协会及消费者协会雇佣人员及临时工作人员的劳务费、社会保障缴费、福利支出、以及公用经费支出。建立维护市场秩序，服务地方经济发展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25%</w:t>
            </w:r>
          </w:p>
        </w:tc>
        <w:tc>
          <w:tcPr>
            <w:tcW w:w="1327" w:type="dxa"/>
            <w:vAlign w:val="center"/>
          </w:tcPr>
          <w:p>
            <w:pPr>
              <w:pStyle w:val="20"/>
            </w:pPr>
            <w:r>
              <w:t>50%</w:t>
            </w:r>
          </w:p>
        </w:tc>
        <w:tc>
          <w:tcPr>
            <w:tcW w:w="1327" w:type="dxa"/>
            <w:vAlign w:val="center"/>
          </w:tcPr>
          <w:p>
            <w:pPr>
              <w:pStyle w:val="20"/>
            </w:pPr>
            <w:r>
              <w:t>75%</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1.通过项目的开展，保障人员稳定，正常履行部门职能，维护市场秩序，服务地方经济。</w:t>
            </w:r>
          </w:p>
          <w:p>
            <w:pPr>
              <w:pStyle w:val="19"/>
            </w:pPr>
            <w:r>
              <w:t>2.通过项目的开展，及时、足额、准确的发放人员工资、按时缴纳各类保险，保证机关正常运转，健全长效管理机制，使人员经费支出得到保障。</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保障人数</w:t>
            </w:r>
          </w:p>
        </w:tc>
        <w:tc>
          <w:tcPr>
            <w:tcW w:w="2654" w:type="dxa"/>
            <w:vAlign w:val="center"/>
          </w:tcPr>
          <w:p>
            <w:pPr>
              <w:pStyle w:val="19"/>
            </w:pPr>
            <w:r>
              <w:t>发放工资及缴纳保险人数</w:t>
            </w:r>
          </w:p>
        </w:tc>
        <w:tc>
          <w:tcPr>
            <w:tcW w:w="1327" w:type="dxa"/>
            <w:vAlign w:val="center"/>
          </w:tcPr>
          <w:p>
            <w:pPr>
              <w:pStyle w:val="19"/>
            </w:pPr>
            <w:r>
              <w:t>≤31人</w:t>
            </w:r>
          </w:p>
        </w:tc>
        <w:tc>
          <w:tcPr>
            <w:tcW w:w="1327" w:type="dxa"/>
            <w:vAlign w:val="center"/>
          </w:tcPr>
          <w:p>
            <w:pPr>
              <w:pStyle w:val="19"/>
            </w:pPr>
            <w:r>
              <w:t>月工资表及保险缴纳凭证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发放准确率</w:t>
            </w:r>
          </w:p>
        </w:tc>
        <w:tc>
          <w:tcPr>
            <w:tcW w:w="2654" w:type="dxa"/>
            <w:vAlign w:val="center"/>
          </w:tcPr>
          <w:p>
            <w:pPr>
              <w:pStyle w:val="19"/>
            </w:pPr>
            <w:r>
              <w:t>准确发放工资及缴纳保险的人数占应发放工资级缴纳保险人数的比率</w:t>
            </w:r>
          </w:p>
        </w:tc>
        <w:tc>
          <w:tcPr>
            <w:tcW w:w="1327" w:type="dxa"/>
            <w:vAlign w:val="center"/>
          </w:tcPr>
          <w:p>
            <w:pPr>
              <w:pStyle w:val="19"/>
            </w:pPr>
            <w:r>
              <w:t>100%</w:t>
            </w:r>
          </w:p>
        </w:tc>
        <w:tc>
          <w:tcPr>
            <w:tcW w:w="1327" w:type="dxa"/>
            <w:vAlign w:val="center"/>
          </w:tcPr>
          <w:p>
            <w:pPr>
              <w:pStyle w:val="19"/>
            </w:pPr>
            <w:r>
              <w:t>月工资表及保险缴纳凭证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发放及时率</w:t>
            </w:r>
          </w:p>
        </w:tc>
        <w:tc>
          <w:tcPr>
            <w:tcW w:w="2654" w:type="dxa"/>
            <w:vAlign w:val="center"/>
          </w:tcPr>
          <w:p>
            <w:pPr>
              <w:pStyle w:val="19"/>
            </w:pPr>
            <w:r>
              <w:t>及时发放工资及缴纳保险的人数占应发放工资级缴纳保险人数的比率</w:t>
            </w:r>
          </w:p>
        </w:tc>
        <w:tc>
          <w:tcPr>
            <w:tcW w:w="1327" w:type="dxa"/>
            <w:vAlign w:val="center"/>
          </w:tcPr>
          <w:p>
            <w:pPr>
              <w:pStyle w:val="19"/>
            </w:pPr>
            <w:r>
              <w:t>100%</w:t>
            </w:r>
          </w:p>
        </w:tc>
        <w:tc>
          <w:tcPr>
            <w:tcW w:w="1327" w:type="dxa"/>
            <w:vAlign w:val="center"/>
          </w:tcPr>
          <w:p>
            <w:pPr>
              <w:pStyle w:val="19"/>
            </w:pPr>
            <w:r>
              <w:t>月工资表及保险缴纳凭证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人均成本</w:t>
            </w:r>
          </w:p>
        </w:tc>
        <w:tc>
          <w:tcPr>
            <w:tcW w:w="2654" w:type="dxa"/>
            <w:vAlign w:val="center"/>
          </w:tcPr>
          <w:p>
            <w:pPr>
              <w:pStyle w:val="19"/>
            </w:pPr>
            <w:r>
              <w:t>每月发放工资及缴纳保险费的人均成本</w:t>
            </w:r>
          </w:p>
        </w:tc>
        <w:tc>
          <w:tcPr>
            <w:tcW w:w="1327" w:type="dxa"/>
            <w:vAlign w:val="center"/>
          </w:tcPr>
          <w:p>
            <w:pPr>
              <w:pStyle w:val="19"/>
            </w:pPr>
            <w:r>
              <w:t>≤0.5万元</w:t>
            </w:r>
          </w:p>
        </w:tc>
        <w:tc>
          <w:tcPr>
            <w:tcW w:w="1327" w:type="dxa"/>
            <w:vAlign w:val="center"/>
          </w:tcPr>
          <w:p>
            <w:pPr>
              <w:pStyle w:val="19"/>
            </w:pPr>
            <w:r>
              <w:t>月工资表及保险缴纳凭证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机关正常运转天数</w:t>
            </w:r>
          </w:p>
        </w:tc>
        <w:tc>
          <w:tcPr>
            <w:tcW w:w="2654" w:type="dxa"/>
            <w:vAlign w:val="center"/>
          </w:tcPr>
          <w:p>
            <w:pPr>
              <w:pStyle w:val="19"/>
            </w:pPr>
            <w:r>
              <w:t>保障机关单位日常业务正常开展的情况</w:t>
            </w:r>
          </w:p>
        </w:tc>
        <w:tc>
          <w:tcPr>
            <w:tcW w:w="1327" w:type="dxa"/>
            <w:vAlign w:val="center"/>
          </w:tcPr>
          <w:p>
            <w:pPr>
              <w:pStyle w:val="19"/>
            </w:pPr>
            <w:r>
              <w:t>365天</w:t>
            </w:r>
          </w:p>
        </w:tc>
        <w:tc>
          <w:tcPr>
            <w:tcW w:w="1327" w:type="dxa"/>
            <w:vAlign w:val="center"/>
          </w:tcPr>
          <w:p>
            <w:pPr>
              <w:pStyle w:val="19"/>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考核项目单位相关管理机制建立健全情况</w:t>
            </w:r>
          </w:p>
        </w:tc>
        <w:tc>
          <w:tcPr>
            <w:tcW w:w="1327" w:type="dxa"/>
            <w:vAlign w:val="center"/>
          </w:tcPr>
          <w:p>
            <w:pPr>
              <w:pStyle w:val="19"/>
            </w:pPr>
            <w:r>
              <w:t>健全</w:t>
            </w:r>
          </w:p>
        </w:tc>
        <w:tc>
          <w:tcPr>
            <w:tcW w:w="1327" w:type="dxa"/>
            <w:vAlign w:val="center"/>
          </w:tcPr>
          <w:p>
            <w:pPr>
              <w:pStyle w:val="19"/>
            </w:pPr>
            <w: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协会人员满意度</w:t>
            </w:r>
          </w:p>
        </w:tc>
        <w:tc>
          <w:tcPr>
            <w:tcW w:w="2654" w:type="dxa"/>
            <w:vAlign w:val="center"/>
          </w:tcPr>
          <w:p>
            <w:pPr>
              <w:pStyle w:val="19"/>
            </w:pPr>
            <w:r>
              <w:t>协会人员对项目开展的满意程度</w:t>
            </w:r>
          </w:p>
        </w:tc>
        <w:tc>
          <w:tcPr>
            <w:tcW w:w="1327" w:type="dxa"/>
            <w:vAlign w:val="center"/>
          </w:tcPr>
          <w:p>
            <w:pPr>
              <w:pStyle w:val="19"/>
            </w:pPr>
            <w:r>
              <w:t>≥90%</w:t>
            </w:r>
          </w:p>
        </w:tc>
        <w:tc>
          <w:tcPr>
            <w:tcW w:w="1327" w:type="dxa"/>
            <w:vAlign w:val="center"/>
          </w:tcPr>
          <w:p>
            <w:pPr>
              <w:pStyle w:val="19"/>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18"/>
      <w:r>
        <w:rPr>
          <w:rFonts w:ascii="方正仿宋_GBK" w:hAnsi="方正仿宋_GBK" w:eastAsia="方正仿宋_GBK" w:cs="方正仿宋_GBK"/>
          <w:color w:val="000000"/>
          <w:sz w:val="28"/>
        </w:rPr>
        <w:t>15.食品抽检经费绩效目标表</w:t>
      </w:r>
      <w:bookmarkEnd w:id="1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13102422P00DCG410002T</w:t>
            </w:r>
          </w:p>
        </w:tc>
        <w:tc>
          <w:tcPr>
            <w:tcW w:w="1327" w:type="dxa"/>
            <w:vAlign w:val="center"/>
          </w:tcPr>
          <w:p>
            <w:pPr>
              <w:pStyle w:val="18"/>
            </w:pPr>
            <w:r>
              <w:t>项目名称</w:t>
            </w:r>
          </w:p>
        </w:tc>
        <w:tc>
          <w:tcPr>
            <w:tcW w:w="3981" w:type="dxa"/>
            <w:gridSpan w:val="3"/>
            <w:vAlign w:val="center"/>
          </w:tcPr>
          <w:p>
            <w:pPr>
              <w:pStyle w:val="19"/>
            </w:pPr>
            <w:r>
              <w:t>食品抽检经费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130.00</w:t>
            </w:r>
          </w:p>
        </w:tc>
        <w:tc>
          <w:tcPr>
            <w:tcW w:w="1327" w:type="dxa"/>
            <w:vAlign w:val="center"/>
          </w:tcPr>
          <w:p>
            <w:pPr>
              <w:pStyle w:val="18"/>
            </w:pPr>
            <w:r>
              <w:t>其中：财政    资金</w:t>
            </w:r>
          </w:p>
        </w:tc>
        <w:tc>
          <w:tcPr>
            <w:tcW w:w="1327" w:type="dxa"/>
            <w:vAlign w:val="center"/>
          </w:tcPr>
          <w:p>
            <w:pPr>
              <w:pStyle w:val="19"/>
            </w:pPr>
            <w:r>
              <w:t>130.00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rPr>
                <w:lang w:eastAsia="zh-CN"/>
              </w:rPr>
            </w:pPr>
            <w:r>
              <w:rPr>
                <w:rFonts w:hint="eastAsia"/>
                <w:lang w:eastAsia="zh-CN"/>
              </w:rPr>
              <w:t>用于</w:t>
            </w:r>
            <w:r>
              <w:t>食品安全监督</w:t>
            </w:r>
            <w:r>
              <w:rPr>
                <w:rFonts w:hint="eastAsia"/>
                <w:lang w:eastAsia="zh-CN"/>
              </w:rPr>
              <w:t>专项</w:t>
            </w:r>
            <w:r>
              <w:t>抽检，确保全县人民的饮食安全</w:t>
            </w:r>
            <w:r>
              <w:rPr>
                <w:rFonts w:hint="eastAsia"/>
                <w:lang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60%</w:t>
            </w:r>
          </w:p>
        </w:tc>
        <w:tc>
          <w:tcPr>
            <w:tcW w:w="1327" w:type="dxa"/>
            <w:vAlign w:val="center"/>
          </w:tcPr>
          <w:p>
            <w:pPr>
              <w:pStyle w:val="20"/>
            </w:pPr>
            <w:r>
              <w:t>90%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rPr>
                <w:rFonts w:hint="eastAsia"/>
              </w:rPr>
              <w:t>通过开展食品抽检，对有严重风险隐患的食品“零容忍”，倒逼生产经营企业落实食品安全主体责任，巩固食品安全稳定向好的态势，预防食品安全事故的发生，切实保障人民群众食品消费安全。</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抽检批次</w:t>
            </w:r>
          </w:p>
        </w:tc>
        <w:tc>
          <w:tcPr>
            <w:tcW w:w="2654" w:type="dxa"/>
            <w:vAlign w:val="center"/>
          </w:tcPr>
          <w:p>
            <w:pPr>
              <w:pStyle w:val="19"/>
            </w:pPr>
            <w:r>
              <w:t>对全县食品生产、销售、餐饮环节监督抽检</w:t>
            </w:r>
          </w:p>
        </w:tc>
        <w:tc>
          <w:tcPr>
            <w:tcW w:w="1327" w:type="dxa"/>
            <w:vAlign w:val="center"/>
          </w:tcPr>
          <w:p>
            <w:pPr>
              <w:pStyle w:val="19"/>
            </w:pPr>
            <w:r>
              <w:t>≥2060批次</w:t>
            </w:r>
          </w:p>
        </w:tc>
        <w:tc>
          <w:tcPr>
            <w:tcW w:w="1327" w:type="dxa"/>
            <w:vAlign w:val="center"/>
          </w:tcPr>
          <w:p>
            <w:pPr>
              <w:pStyle w:val="19"/>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覆盖率</w:t>
            </w:r>
          </w:p>
        </w:tc>
        <w:tc>
          <w:tcPr>
            <w:tcW w:w="2654" w:type="dxa"/>
            <w:vAlign w:val="center"/>
          </w:tcPr>
          <w:p>
            <w:pPr>
              <w:pStyle w:val="19"/>
            </w:pPr>
            <w:r>
              <w:t>常住人口食品抽检覆盖率</w:t>
            </w:r>
          </w:p>
        </w:tc>
        <w:tc>
          <w:tcPr>
            <w:tcW w:w="1327" w:type="dxa"/>
            <w:vAlign w:val="center"/>
          </w:tcPr>
          <w:p>
            <w:pPr>
              <w:pStyle w:val="19"/>
            </w:pPr>
            <w:r>
              <w:t>≥0.45%</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及时性</w:t>
            </w:r>
          </w:p>
        </w:tc>
        <w:tc>
          <w:tcPr>
            <w:tcW w:w="2654" w:type="dxa"/>
            <w:vAlign w:val="center"/>
          </w:tcPr>
          <w:p>
            <w:pPr>
              <w:pStyle w:val="19"/>
            </w:pPr>
            <w:r>
              <w:t>及时完成抽检工作</w:t>
            </w:r>
          </w:p>
        </w:tc>
        <w:tc>
          <w:tcPr>
            <w:tcW w:w="1327" w:type="dxa"/>
            <w:vAlign w:val="center"/>
          </w:tcPr>
          <w:p>
            <w:pPr>
              <w:pStyle w:val="19"/>
            </w:pPr>
            <w:r>
              <w:t>≤12月</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单位成本控制率</w:t>
            </w:r>
          </w:p>
        </w:tc>
        <w:tc>
          <w:tcPr>
            <w:tcW w:w="2654" w:type="dxa"/>
            <w:vAlign w:val="center"/>
          </w:tcPr>
          <w:p>
            <w:pPr>
              <w:pStyle w:val="19"/>
            </w:pPr>
            <w:r>
              <w:t>平均单位抽检成本</w:t>
            </w:r>
          </w:p>
        </w:tc>
        <w:tc>
          <w:tcPr>
            <w:tcW w:w="1327" w:type="dxa"/>
            <w:vAlign w:val="center"/>
          </w:tcPr>
          <w:p>
            <w:pPr>
              <w:pStyle w:val="19"/>
            </w:pPr>
            <w:r>
              <w:t>≤0.1万元</w:t>
            </w:r>
          </w:p>
        </w:tc>
        <w:tc>
          <w:tcPr>
            <w:tcW w:w="1327" w:type="dxa"/>
            <w:vAlign w:val="center"/>
          </w:tcPr>
          <w:p>
            <w:pPr>
              <w:pStyle w:val="19"/>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食用农产品专项不合格发现率</w:t>
            </w:r>
          </w:p>
        </w:tc>
        <w:tc>
          <w:tcPr>
            <w:tcW w:w="2654" w:type="dxa"/>
            <w:vAlign w:val="center"/>
          </w:tcPr>
          <w:p>
            <w:pPr>
              <w:pStyle w:val="19"/>
            </w:pPr>
            <w:r>
              <w:t>食用农产品专项抽检中不合格食用农产品批次占食用农产品专项抽检总批次的比率</w:t>
            </w:r>
          </w:p>
        </w:tc>
        <w:tc>
          <w:tcPr>
            <w:tcW w:w="1327" w:type="dxa"/>
            <w:vAlign w:val="center"/>
          </w:tcPr>
          <w:p>
            <w:pPr>
              <w:pStyle w:val="19"/>
            </w:pPr>
            <w:r>
              <w:t>≥3.2%</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长效管理机制建全性</w:t>
            </w:r>
          </w:p>
        </w:tc>
        <w:tc>
          <w:tcPr>
            <w:tcW w:w="2654" w:type="dxa"/>
            <w:vAlign w:val="center"/>
          </w:tcPr>
          <w:p>
            <w:pPr>
              <w:pStyle w:val="19"/>
            </w:pPr>
            <w:r>
              <w:t>项目具有明确指向性部门规章，有明确的工作流程</w:t>
            </w:r>
          </w:p>
        </w:tc>
        <w:tc>
          <w:tcPr>
            <w:tcW w:w="1327" w:type="dxa"/>
            <w:vAlign w:val="center"/>
          </w:tcPr>
          <w:p>
            <w:pPr>
              <w:pStyle w:val="19"/>
            </w:pPr>
            <w:r>
              <w:t>健全</w:t>
            </w:r>
          </w:p>
        </w:tc>
        <w:tc>
          <w:tcPr>
            <w:tcW w:w="1327" w:type="dxa"/>
            <w:vAlign w:val="center"/>
          </w:tcPr>
          <w:p>
            <w:pPr>
              <w:pStyle w:val="19"/>
            </w:pPr>
            <w:r>
              <w:t>规章资料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群众满意度</w:t>
            </w:r>
          </w:p>
        </w:tc>
        <w:tc>
          <w:tcPr>
            <w:tcW w:w="2654" w:type="dxa"/>
            <w:vAlign w:val="center"/>
          </w:tcPr>
          <w:p>
            <w:pPr>
              <w:pStyle w:val="19"/>
            </w:pPr>
            <w:r>
              <w:t>群众满意度</w:t>
            </w:r>
          </w:p>
        </w:tc>
        <w:tc>
          <w:tcPr>
            <w:tcW w:w="1327" w:type="dxa"/>
            <w:vAlign w:val="center"/>
          </w:tcPr>
          <w:p>
            <w:pPr>
              <w:pStyle w:val="19"/>
            </w:pPr>
            <w:r>
              <w:t>≥85%</w:t>
            </w:r>
          </w:p>
        </w:tc>
        <w:tc>
          <w:tcPr>
            <w:tcW w:w="1327" w:type="dxa"/>
            <w:vAlign w:val="center"/>
          </w:tcPr>
          <w:p>
            <w:pPr>
              <w:pStyle w:val="19"/>
            </w:pPr>
            <w:r>
              <w:t>调查问卷</w:t>
            </w:r>
          </w:p>
        </w:tc>
      </w:tr>
    </w:tbl>
    <w:p>
      <w:pPr>
        <w:sectPr>
          <w:pgSz w:w="11900" w:h="16840"/>
          <w:pgMar w:top="1984" w:right="1304" w:bottom="1134" w:left="1304" w:header="720" w:footer="720" w:gutter="0"/>
          <w:cols w:space="720" w:num="1"/>
        </w:sectPr>
      </w:pPr>
    </w:p>
    <w:p>
      <w:pPr>
        <w:ind w:firstLine="560"/>
        <w:outlineLvl w:val="3"/>
      </w:pPr>
      <w:bookmarkStart w:id="15" w:name="_Toc_4_4_0000000019"/>
      <w:r>
        <w:rPr>
          <w:rFonts w:ascii="方正仿宋_GBK" w:hAnsi="方正仿宋_GBK" w:eastAsia="方正仿宋_GBK" w:cs="方正仿宋_GBK"/>
          <w:color w:val="000000"/>
          <w:sz w:val="28"/>
        </w:rPr>
        <w:t>16.食品药械化妆品安全监管经费绩效目标表</w:t>
      </w:r>
      <w:bookmarkEnd w:id="1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8"/>
        <w:gridCol w:w="1406"/>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8" w:type="dxa"/>
            <w:vAlign w:val="center"/>
          </w:tcPr>
          <w:p>
            <w:pPr>
              <w:pStyle w:val="18"/>
            </w:pPr>
            <w:r>
              <w:t>项目编码</w:t>
            </w:r>
          </w:p>
        </w:tc>
        <w:tc>
          <w:tcPr>
            <w:tcW w:w="2733" w:type="dxa"/>
            <w:gridSpan w:val="2"/>
            <w:vAlign w:val="center"/>
          </w:tcPr>
          <w:p>
            <w:pPr>
              <w:pStyle w:val="19"/>
            </w:pPr>
            <w:r>
              <w:t>13102422P00YY2410002W</w:t>
            </w:r>
          </w:p>
        </w:tc>
        <w:tc>
          <w:tcPr>
            <w:tcW w:w="1327" w:type="dxa"/>
            <w:vAlign w:val="center"/>
          </w:tcPr>
          <w:p>
            <w:pPr>
              <w:pStyle w:val="18"/>
            </w:pPr>
            <w:r>
              <w:t>项目名称</w:t>
            </w:r>
          </w:p>
        </w:tc>
        <w:tc>
          <w:tcPr>
            <w:tcW w:w="3981" w:type="dxa"/>
            <w:gridSpan w:val="3"/>
            <w:vAlign w:val="center"/>
          </w:tcPr>
          <w:p>
            <w:pPr>
              <w:pStyle w:val="19"/>
            </w:pPr>
            <w:r>
              <w:t>食品药械化妆品安全监管经费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8" w:type="dxa"/>
            <w:vMerge w:val="restart"/>
            <w:vAlign w:val="center"/>
          </w:tcPr>
          <w:p>
            <w:pPr>
              <w:pStyle w:val="18"/>
            </w:pPr>
            <w:r>
              <w:t>预算规模及资金用途</w:t>
            </w:r>
          </w:p>
        </w:tc>
        <w:tc>
          <w:tcPr>
            <w:tcW w:w="1406" w:type="dxa"/>
            <w:vAlign w:val="center"/>
          </w:tcPr>
          <w:p>
            <w:pPr>
              <w:pStyle w:val="18"/>
            </w:pPr>
            <w:r>
              <w:t>预算数</w:t>
            </w:r>
          </w:p>
        </w:tc>
        <w:tc>
          <w:tcPr>
            <w:tcW w:w="1327" w:type="dxa"/>
            <w:vAlign w:val="center"/>
          </w:tcPr>
          <w:p>
            <w:pPr>
              <w:pStyle w:val="19"/>
            </w:pPr>
            <w:r>
              <w:t>90.00</w:t>
            </w:r>
          </w:p>
        </w:tc>
        <w:tc>
          <w:tcPr>
            <w:tcW w:w="1327" w:type="dxa"/>
            <w:vAlign w:val="center"/>
          </w:tcPr>
          <w:p>
            <w:pPr>
              <w:pStyle w:val="18"/>
            </w:pPr>
            <w:r>
              <w:t>其中：财政    资金</w:t>
            </w:r>
          </w:p>
        </w:tc>
        <w:tc>
          <w:tcPr>
            <w:tcW w:w="1327" w:type="dxa"/>
            <w:vAlign w:val="center"/>
          </w:tcPr>
          <w:p>
            <w:pPr>
              <w:pStyle w:val="19"/>
            </w:pPr>
            <w:r>
              <w:t>90.00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8" w:type="dxa"/>
            <w:vMerge w:val="continue"/>
          </w:tcPr>
          <w:p/>
        </w:tc>
        <w:tc>
          <w:tcPr>
            <w:tcW w:w="8041" w:type="dxa"/>
            <w:gridSpan w:val="6"/>
            <w:vAlign w:val="center"/>
          </w:tcPr>
          <w:p>
            <w:pPr>
              <w:pStyle w:val="19"/>
            </w:pPr>
            <w:r>
              <w:t>对全县食品生产经营单位、药品医疗器械化妆品经营使用单位开展日常监督管理，按照年初制订的监督检查计划，由辖区分局监管人员，对每户食品生产经营者、药品医疗器械化妆品经营使用单位进行监督检查、专项抽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8" w:type="dxa"/>
            <w:vMerge w:val="restart"/>
            <w:vAlign w:val="center"/>
          </w:tcPr>
          <w:p>
            <w:pPr>
              <w:pStyle w:val="18"/>
            </w:pPr>
            <w:r>
              <w:t>资金支出计划（%）</w:t>
            </w:r>
          </w:p>
        </w:tc>
        <w:tc>
          <w:tcPr>
            <w:tcW w:w="2733"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8" w:type="dxa"/>
            <w:vMerge w:val="continue"/>
          </w:tcPr>
          <w:p/>
        </w:tc>
        <w:tc>
          <w:tcPr>
            <w:tcW w:w="2733" w:type="dxa"/>
            <w:gridSpan w:val="2"/>
            <w:vAlign w:val="center"/>
          </w:tcPr>
          <w:p>
            <w:pPr>
              <w:pStyle w:val="20"/>
            </w:pPr>
            <w:r>
              <w:t>30%</w:t>
            </w:r>
          </w:p>
        </w:tc>
        <w:tc>
          <w:tcPr>
            <w:tcW w:w="1327" w:type="dxa"/>
            <w:vAlign w:val="center"/>
          </w:tcPr>
          <w:p>
            <w:pPr>
              <w:pStyle w:val="20"/>
            </w:pPr>
            <w:r>
              <w:t>60%</w:t>
            </w:r>
          </w:p>
        </w:tc>
        <w:tc>
          <w:tcPr>
            <w:tcW w:w="1327" w:type="dxa"/>
            <w:vAlign w:val="center"/>
          </w:tcPr>
          <w:p>
            <w:pPr>
              <w:pStyle w:val="20"/>
            </w:pPr>
            <w:r>
              <w:t>90%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8" w:type="dxa"/>
            <w:vAlign w:val="center"/>
          </w:tcPr>
          <w:p>
            <w:pPr>
              <w:pStyle w:val="18"/>
            </w:pPr>
            <w:r>
              <w:t>绩效目标</w:t>
            </w:r>
          </w:p>
        </w:tc>
        <w:tc>
          <w:tcPr>
            <w:tcW w:w="8041" w:type="dxa"/>
            <w:gridSpan w:val="6"/>
            <w:vAlign w:val="center"/>
          </w:tcPr>
          <w:p>
            <w:pPr>
              <w:pStyle w:val="19"/>
            </w:pPr>
            <w:r>
              <w:rPr>
                <w:rFonts w:hint="eastAsia"/>
              </w:rPr>
              <w:t>实现我县食品、药品、医疗器械、化妆品质量安全，打击市场三无假劣食品，保障人民群众合法权益不受侵害</w:t>
            </w:r>
            <w:r>
              <w:t>。</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271"/>
        <w:gridCol w:w="1665"/>
        <w:gridCol w:w="2550"/>
        <w:gridCol w:w="1149"/>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271" w:type="dxa"/>
            <w:vAlign w:val="center"/>
          </w:tcPr>
          <w:p>
            <w:pPr>
              <w:pStyle w:val="18"/>
            </w:pPr>
            <w:r>
              <w:t>二级指标</w:t>
            </w:r>
          </w:p>
        </w:tc>
        <w:tc>
          <w:tcPr>
            <w:tcW w:w="1665" w:type="dxa"/>
            <w:vAlign w:val="center"/>
          </w:tcPr>
          <w:p>
            <w:pPr>
              <w:pStyle w:val="18"/>
            </w:pPr>
            <w:r>
              <w:t>三级指标</w:t>
            </w:r>
          </w:p>
        </w:tc>
        <w:tc>
          <w:tcPr>
            <w:tcW w:w="2550" w:type="dxa"/>
            <w:vAlign w:val="center"/>
          </w:tcPr>
          <w:p>
            <w:pPr>
              <w:pStyle w:val="18"/>
            </w:pPr>
            <w:r>
              <w:t>绩效指标描述</w:t>
            </w:r>
          </w:p>
        </w:tc>
        <w:tc>
          <w:tcPr>
            <w:tcW w:w="1149"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271" w:type="dxa"/>
            <w:vAlign w:val="center"/>
          </w:tcPr>
          <w:p>
            <w:pPr>
              <w:pStyle w:val="19"/>
            </w:pPr>
            <w:r>
              <w:t>数量指标</w:t>
            </w:r>
          </w:p>
        </w:tc>
        <w:tc>
          <w:tcPr>
            <w:tcW w:w="1665" w:type="dxa"/>
            <w:vAlign w:val="center"/>
          </w:tcPr>
          <w:p>
            <w:pPr>
              <w:pStyle w:val="19"/>
            </w:pPr>
            <w:r>
              <w:t>食品专项抽检次数</w:t>
            </w:r>
          </w:p>
        </w:tc>
        <w:tc>
          <w:tcPr>
            <w:tcW w:w="2550" w:type="dxa"/>
            <w:vAlign w:val="center"/>
          </w:tcPr>
          <w:p>
            <w:pPr>
              <w:pStyle w:val="19"/>
            </w:pPr>
            <w:r>
              <w:t>重大节日或特殊期间对食品进行的专项抽检次数</w:t>
            </w:r>
          </w:p>
        </w:tc>
        <w:tc>
          <w:tcPr>
            <w:tcW w:w="1149" w:type="dxa"/>
            <w:vAlign w:val="center"/>
          </w:tcPr>
          <w:p>
            <w:pPr>
              <w:pStyle w:val="19"/>
            </w:pPr>
            <w:r>
              <w:t>5次</w:t>
            </w:r>
          </w:p>
        </w:tc>
        <w:tc>
          <w:tcPr>
            <w:tcW w:w="1327" w:type="dxa"/>
            <w:vAlign w:val="center"/>
          </w:tcPr>
          <w:p>
            <w:pPr>
              <w:pStyle w:val="19"/>
            </w:pPr>
            <w:r>
              <w:rPr>
                <w:sz w:val="15"/>
                <w:szCs w:val="15"/>
              </w:rPr>
              <w:t>抽检计划、台账、检测报告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1" w:type="dxa"/>
            <w:vAlign w:val="center"/>
          </w:tcPr>
          <w:p>
            <w:pPr>
              <w:pStyle w:val="19"/>
            </w:pPr>
            <w:r>
              <w:t>数量指标</w:t>
            </w:r>
          </w:p>
        </w:tc>
        <w:tc>
          <w:tcPr>
            <w:tcW w:w="1665" w:type="dxa"/>
            <w:vAlign w:val="center"/>
          </w:tcPr>
          <w:p>
            <w:pPr>
              <w:pStyle w:val="19"/>
            </w:pPr>
            <w:r>
              <w:t>食品快检批次数</w:t>
            </w:r>
          </w:p>
        </w:tc>
        <w:tc>
          <w:tcPr>
            <w:tcW w:w="2550" w:type="dxa"/>
            <w:vAlign w:val="center"/>
          </w:tcPr>
          <w:p>
            <w:pPr>
              <w:pStyle w:val="19"/>
            </w:pPr>
            <w:r>
              <w:t>全年食品快速检测的批次</w:t>
            </w:r>
          </w:p>
        </w:tc>
        <w:tc>
          <w:tcPr>
            <w:tcW w:w="1149" w:type="dxa"/>
            <w:vAlign w:val="center"/>
          </w:tcPr>
          <w:p>
            <w:pPr>
              <w:pStyle w:val="19"/>
            </w:pPr>
            <w:r>
              <w:t>≥1320批次</w:t>
            </w:r>
          </w:p>
        </w:tc>
        <w:tc>
          <w:tcPr>
            <w:tcW w:w="1327" w:type="dxa"/>
            <w:vAlign w:val="center"/>
          </w:tcPr>
          <w:p>
            <w:pPr>
              <w:pStyle w:val="19"/>
            </w:pPr>
            <w:r>
              <w:rPr>
                <w:sz w:val="15"/>
                <w:szCs w:val="15"/>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1" w:type="dxa"/>
            <w:vAlign w:val="center"/>
          </w:tcPr>
          <w:p>
            <w:pPr>
              <w:pStyle w:val="19"/>
            </w:pPr>
            <w:r>
              <w:t>数量指标</w:t>
            </w:r>
          </w:p>
        </w:tc>
        <w:tc>
          <w:tcPr>
            <w:tcW w:w="1665" w:type="dxa"/>
            <w:vAlign w:val="center"/>
          </w:tcPr>
          <w:p>
            <w:pPr>
              <w:pStyle w:val="19"/>
            </w:pPr>
            <w:r>
              <w:t>开展宣传活动次数</w:t>
            </w:r>
          </w:p>
        </w:tc>
        <w:tc>
          <w:tcPr>
            <w:tcW w:w="2550" w:type="dxa"/>
            <w:vAlign w:val="center"/>
          </w:tcPr>
          <w:p>
            <w:pPr>
              <w:pStyle w:val="19"/>
            </w:pPr>
            <w:r>
              <w:t>开展的食品药品医疗器械化妆品宣传次数</w:t>
            </w:r>
          </w:p>
        </w:tc>
        <w:tc>
          <w:tcPr>
            <w:tcW w:w="1149" w:type="dxa"/>
            <w:vAlign w:val="center"/>
          </w:tcPr>
          <w:p>
            <w:pPr>
              <w:pStyle w:val="19"/>
            </w:pPr>
            <w:r>
              <w:t>≥2次</w:t>
            </w:r>
          </w:p>
        </w:tc>
        <w:tc>
          <w:tcPr>
            <w:tcW w:w="1327" w:type="dxa"/>
            <w:vAlign w:val="center"/>
          </w:tcPr>
          <w:p>
            <w:pPr>
              <w:pStyle w:val="19"/>
            </w:pPr>
            <w:r>
              <w:rPr>
                <w:sz w:val="15"/>
                <w:szCs w:val="15"/>
              </w:rPr>
              <w:t>工作计划、相关文件、工作总结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1" w:type="dxa"/>
            <w:vAlign w:val="center"/>
          </w:tcPr>
          <w:p>
            <w:pPr>
              <w:pStyle w:val="19"/>
            </w:pPr>
            <w:r>
              <w:t>质量指标</w:t>
            </w:r>
          </w:p>
        </w:tc>
        <w:tc>
          <w:tcPr>
            <w:tcW w:w="1665" w:type="dxa"/>
            <w:vAlign w:val="center"/>
          </w:tcPr>
          <w:p>
            <w:pPr>
              <w:pStyle w:val="19"/>
            </w:pPr>
            <w:r>
              <w:t>检测报告准确率</w:t>
            </w:r>
          </w:p>
        </w:tc>
        <w:tc>
          <w:tcPr>
            <w:tcW w:w="2550" w:type="dxa"/>
            <w:vAlign w:val="center"/>
          </w:tcPr>
          <w:p>
            <w:pPr>
              <w:pStyle w:val="19"/>
            </w:pPr>
            <w:r>
              <w:t>食品专项抽检、快检报告准确程度</w:t>
            </w:r>
          </w:p>
        </w:tc>
        <w:tc>
          <w:tcPr>
            <w:tcW w:w="1149" w:type="dxa"/>
            <w:vAlign w:val="center"/>
          </w:tcPr>
          <w:p>
            <w:pPr>
              <w:pStyle w:val="19"/>
            </w:pPr>
            <w:r>
              <w:t>100%</w:t>
            </w:r>
          </w:p>
        </w:tc>
        <w:tc>
          <w:tcPr>
            <w:tcW w:w="1327" w:type="dxa"/>
            <w:vAlign w:val="center"/>
          </w:tcPr>
          <w:p>
            <w:pPr>
              <w:pStyle w:val="19"/>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1" w:type="dxa"/>
            <w:vAlign w:val="center"/>
          </w:tcPr>
          <w:p>
            <w:pPr>
              <w:pStyle w:val="19"/>
            </w:pPr>
            <w:r>
              <w:t>时效指标</w:t>
            </w:r>
          </w:p>
        </w:tc>
        <w:tc>
          <w:tcPr>
            <w:tcW w:w="1665" w:type="dxa"/>
            <w:vAlign w:val="center"/>
          </w:tcPr>
          <w:p>
            <w:pPr>
              <w:pStyle w:val="19"/>
            </w:pPr>
            <w:r>
              <w:t>项目开展及时率</w:t>
            </w:r>
          </w:p>
        </w:tc>
        <w:tc>
          <w:tcPr>
            <w:tcW w:w="2550" w:type="dxa"/>
            <w:vAlign w:val="center"/>
          </w:tcPr>
          <w:p>
            <w:pPr>
              <w:pStyle w:val="19"/>
            </w:pPr>
            <w:r>
              <w:t>及时开展各项工作与应开展的比率</w:t>
            </w:r>
          </w:p>
        </w:tc>
        <w:tc>
          <w:tcPr>
            <w:tcW w:w="1149" w:type="dxa"/>
            <w:vAlign w:val="center"/>
          </w:tcPr>
          <w:p>
            <w:pPr>
              <w:pStyle w:val="19"/>
            </w:pPr>
            <w:r>
              <w:t>100%</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1" w:type="dxa"/>
            <w:vAlign w:val="center"/>
          </w:tcPr>
          <w:p>
            <w:pPr>
              <w:pStyle w:val="19"/>
            </w:pPr>
            <w:r>
              <w:t>成本指标</w:t>
            </w:r>
          </w:p>
        </w:tc>
        <w:tc>
          <w:tcPr>
            <w:tcW w:w="1665" w:type="dxa"/>
            <w:vAlign w:val="center"/>
          </w:tcPr>
          <w:p>
            <w:pPr>
              <w:pStyle w:val="19"/>
            </w:pPr>
            <w:r>
              <w:t>单位成本控制率</w:t>
            </w:r>
          </w:p>
        </w:tc>
        <w:tc>
          <w:tcPr>
            <w:tcW w:w="2550" w:type="dxa"/>
            <w:vAlign w:val="center"/>
          </w:tcPr>
          <w:p>
            <w:pPr>
              <w:pStyle w:val="19"/>
            </w:pPr>
            <w:r>
              <w:t>考核各项活动成本是否控制在标准以内</w:t>
            </w:r>
          </w:p>
        </w:tc>
        <w:tc>
          <w:tcPr>
            <w:tcW w:w="1149" w:type="dxa"/>
            <w:vAlign w:val="center"/>
          </w:tcPr>
          <w:p>
            <w:pPr>
              <w:pStyle w:val="19"/>
            </w:pPr>
            <w:r>
              <w:t>≤100%</w:t>
            </w:r>
          </w:p>
        </w:tc>
        <w:tc>
          <w:tcPr>
            <w:tcW w:w="1327" w:type="dxa"/>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271" w:type="dxa"/>
            <w:vAlign w:val="center"/>
          </w:tcPr>
          <w:p>
            <w:pPr>
              <w:pStyle w:val="19"/>
            </w:pPr>
            <w:r>
              <w:t>社会效益指标</w:t>
            </w:r>
          </w:p>
        </w:tc>
        <w:tc>
          <w:tcPr>
            <w:tcW w:w="1665" w:type="dxa"/>
            <w:vAlign w:val="center"/>
          </w:tcPr>
          <w:p>
            <w:pPr>
              <w:pStyle w:val="19"/>
            </w:pPr>
            <w:r>
              <w:t>重大食品安全事件次数</w:t>
            </w:r>
          </w:p>
        </w:tc>
        <w:tc>
          <w:tcPr>
            <w:tcW w:w="2550" w:type="dxa"/>
            <w:vAlign w:val="center"/>
          </w:tcPr>
          <w:p>
            <w:pPr>
              <w:pStyle w:val="19"/>
            </w:pPr>
            <w:r>
              <w:t>重大食品安全事件发生次数</w:t>
            </w:r>
          </w:p>
        </w:tc>
        <w:tc>
          <w:tcPr>
            <w:tcW w:w="1149" w:type="dxa"/>
            <w:vAlign w:val="center"/>
          </w:tcPr>
          <w:p>
            <w:pPr>
              <w:pStyle w:val="19"/>
            </w:pPr>
            <w:r>
              <w:t>0次</w:t>
            </w:r>
          </w:p>
        </w:tc>
        <w:tc>
          <w:tcPr>
            <w:tcW w:w="1327" w:type="dxa"/>
            <w:vAlign w:val="center"/>
          </w:tcPr>
          <w:p>
            <w:pPr>
              <w:pStyle w:val="19"/>
            </w:pPr>
            <w:r>
              <w:t>调查报表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1" w:type="dxa"/>
            <w:vAlign w:val="center"/>
          </w:tcPr>
          <w:p>
            <w:pPr>
              <w:pStyle w:val="19"/>
            </w:pPr>
            <w:r>
              <w:t>社会效益指标</w:t>
            </w:r>
          </w:p>
        </w:tc>
        <w:tc>
          <w:tcPr>
            <w:tcW w:w="1665" w:type="dxa"/>
            <w:vAlign w:val="center"/>
          </w:tcPr>
          <w:p>
            <w:pPr>
              <w:pStyle w:val="19"/>
            </w:pPr>
            <w:r>
              <w:t>食品药品安全知识知晓率</w:t>
            </w:r>
          </w:p>
        </w:tc>
        <w:tc>
          <w:tcPr>
            <w:tcW w:w="2550" w:type="dxa"/>
            <w:vAlign w:val="center"/>
          </w:tcPr>
          <w:p>
            <w:pPr>
              <w:pStyle w:val="19"/>
            </w:pPr>
            <w:r>
              <w:t>群众对食品药品相关知识的了解情况</w:t>
            </w:r>
          </w:p>
        </w:tc>
        <w:tc>
          <w:tcPr>
            <w:tcW w:w="1149" w:type="dxa"/>
            <w:vAlign w:val="center"/>
          </w:tcPr>
          <w:p>
            <w:pPr>
              <w:pStyle w:val="19"/>
            </w:pPr>
            <w:r>
              <w:t>≥80%</w:t>
            </w:r>
          </w:p>
        </w:tc>
        <w:tc>
          <w:tcPr>
            <w:tcW w:w="1327" w:type="dxa"/>
            <w:vAlign w:val="center"/>
          </w:tcPr>
          <w:p>
            <w:pPr>
              <w:pStyle w:val="19"/>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1" w:type="dxa"/>
            <w:vAlign w:val="center"/>
          </w:tcPr>
          <w:p>
            <w:pPr>
              <w:pStyle w:val="19"/>
            </w:pPr>
            <w:r>
              <w:t>可持续影响指标</w:t>
            </w:r>
          </w:p>
        </w:tc>
        <w:tc>
          <w:tcPr>
            <w:tcW w:w="1665" w:type="dxa"/>
            <w:vAlign w:val="center"/>
          </w:tcPr>
          <w:p>
            <w:pPr>
              <w:pStyle w:val="19"/>
            </w:pPr>
            <w:r>
              <w:t>长效管理机制健全性</w:t>
            </w:r>
          </w:p>
        </w:tc>
        <w:tc>
          <w:tcPr>
            <w:tcW w:w="2550" w:type="dxa"/>
            <w:vAlign w:val="center"/>
          </w:tcPr>
          <w:p>
            <w:pPr>
              <w:pStyle w:val="19"/>
            </w:pPr>
            <w:r>
              <w:t>考核项目单位相关管理机制建立健全情况</w:t>
            </w:r>
          </w:p>
        </w:tc>
        <w:tc>
          <w:tcPr>
            <w:tcW w:w="1149" w:type="dxa"/>
            <w:vAlign w:val="center"/>
          </w:tcPr>
          <w:p>
            <w:pPr>
              <w:pStyle w:val="19"/>
            </w:pPr>
            <w:r>
              <w:t>健全</w:t>
            </w:r>
          </w:p>
        </w:tc>
        <w:tc>
          <w:tcPr>
            <w:tcW w:w="1327" w:type="dxa"/>
            <w:vAlign w:val="center"/>
          </w:tcPr>
          <w:p>
            <w:pPr>
              <w:pStyle w:val="19"/>
            </w:pPr>
            <w: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271" w:type="dxa"/>
            <w:vAlign w:val="center"/>
          </w:tcPr>
          <w:p>
            <w:pPr>
              <w:pStyle w:val="19"/>
            </w:pPr>
            <w:r>
              <w:t>服务对象满意度指标</w:t>
            </w:r>
          </w:p>
        </w:tc>
        <w:tc>
          <w:tcPr>
            <w:tcW w:w="1665" w:type="dxa"/>
            <w:vAlign w:val="center"/>
          </w:tcPr>
          <w:p>
            <w:pPr>
              <w:pStyle w:val="19"/>
            </w:pPr>
            <w:r>
              <w:t>群众满意度</w:t>
            </w:r>
          </w:p>
        </w:tc>
        <w:tc>
          <w:tcPr>
            <w:tcW w:w="2550" w:type="dxa"/>
            <w:vAlign w:val="center"/>
          </w:tcPr>
          <w:p>
            <w:pPr>
              <w:pStyle w:val="19"/>
            </w:pPr>
            <w:r>
              <w:t>人民群众对项目工作的满意程度</w:t>
            </w:r>
          </w:p>
        </w:tc>
        <w:tc>
          <w:tcPr>
            <w:tcW w:w="1149" w:type="dxa"/>
            <w:vAlign w:val="center"/>
          </w:tcPr>
          <w:p>
            <w:pPr>
              <w:pStyle w:val="19"/>
            </w:pPr>
            <w:r>
              <w:t>≥85%</w:t>
            </w:r>
          </w:p>
        </w:tc>
        <w:tc>
          <w:tcPr>
            <w:tcW w:w="1327" w:type="dxa"/>
            <w:vAlign w:val="center"/>
          </w:tcPr>
          <w:p>
            <w:pPr>
              <w:pStyle w:val="19"/>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20"/>
      <w:r>
        <w:rPr>
          <w:rFonts w:ascii="方正仿宋_GBK" w:hAnsi="方正仿宋_GBK" w:eastAsia="方正仿宋_GBK" w:cs="方正仿宋_GBK"/>
          <w:color w:val="000000"/>
          <w:sz w:val="28"/>
        </w:rPr>
        <w:t>17.市场监管业务经费绩效目标表</w:t>
      </w:r>
      <w:bookmarkEnd w:id="1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13102422P00WR8X10002A</w:t>
            </w:r>
          </w:p>
        </w:tc>
        <w:tc>
          <w:tcPr>
            <w:tcW w:w="1327" w:type="dxa"/>
            <w:vAlign w:val="center"/>
          </w:tcPr>
          <w:p>
            <w:pPr>
              <w:pStyle w:val="18"/>
            </w:pPr>
            <w:r>
              <w:t>项目名称</w:t>
            </w:r>
          </w:p>
        </w:tc>
        <w:tc>
          <w:tcPr>
            <w:tcW w:w="3981" w:type="dxa"/>
            <w:gridSpan w:val="3"/>
            <w:vAlign w:val="center"/>
          </w:tcPr>
          <w:p>
            <w:pPr>
              <w:pStyle w:val="19"/>
            </w:pPr>
            <w:r>
              <w:t>市场监管业务经费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49.00</w:t>
            </w:r>
          </w:p>
        </w:tc>
        <w:tc>
          <w:tcPr>
            <w:tcW w:w="1327" w:type="dxa"/>
            <w:vAlign w:val="center"/>
          </w:tcPr>
          <w:p>
            <w:pPr>
              <w:pStyle w:val="18"/>
            </w:pPr>
            <w:r>
              <w:t>其中：财政    资金</w:t>
            </w:r>
          </w:p>
        </w:tc>
        <w:tc>
          <w:tcPr>
            <w:tcW w:w="1327" w:type="dxa"/>
            <w:vAlign w:val="center"/>
          </w:tcPr>
          <w:p>
            <w:pPr>
              <w:pStyle w:val="19"/>
            </w:pPr>
            <w:r>
              <w:t>49.00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用于市场主体监管、市场秩序监管等方面的支出，即年报公示宣传、企业住所查询、企业档案整理、日常网络设备维护等支出，强化信用体系建设，依法规范管理和维护各类市场经营主体。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30%</w:t>
            </w:r>
          </w:p>
        </w:tc>
        <w:tc>
          <w:tcPr>
            <w:tcW w:w="1327" w:type="dxa"/>
            <w:vAlign w:val="center"/>
          </w:tcPr>
          <w:p>
            <w:pPr>
              <w:pStyle w:val="20"/>
            </w:pPr>
            <w:r>
              <w:t>60%</w:t>
            </w:r>
          </w:p>
        </w:tc>
        <w:tc>
          <w:tcPr>
            <w:tcW w:w="1327" w:type="dxa"/>
            <w:vAlign w:val="center"/>
          </w:tcPr>
          <w:p>
            <w:pPr>
              <w:pStyle w:val="20"/>
            </w:pPr>
            <w:r>
              <w:t>90%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1.通过项目的开展，深入开展市场监督管理，加大市场监管力度，加强信用监管，推进市场主体信用体系建设，维护公平竞争的市场秩序，促进社会和谐稳定。</w:t>
            </w:r>
          </w:p>
          <w:p>
            <w:pPr>
              <w:pStyle w:val="19"/>
            </w:pPr>
            <w:r>
              <w:t>2.通过项目的开展，以发放宣传材料、群发短信、“香河市场监管”等微信公众号推送等方式向至少4万户市场主体进行宣传，使年报率达到70%以上，确保及时完成工作任务。</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监管户数</w:t>
            </w:r>
          </w:p>
        </w:tc>
        <w:tc>
          <w:tcPr>
            <w:tcW w:w="2654" w:type="dxa"/>
            <w:vAlign w:val="center"/>
          </w:tcPr>
          <w:p>
            <w:pPr>
              <w:pStyle w:val="19"/>
            </w:pPr>
            <w:r>
              <w:t>监督管理企业、个体工商户等户数</w:t>
            </w:r>
          </w:p>
        </w:tc>
        <w:tc>
          <w:tcPr>
            <w:tcW w:w="1327" w:type="dxa"/>
            <w:vAlign w:val="center"/>
          </w:tcPr>
          <w:p>
            <w:pPr>
              <w:pStyle w:val="19"/>
            </w:pPr>
            <w:r>
              <w:t>≥4万</w:t>
            </w:r>
          </w:p>
        </w:tc>
        <w:tc>
          <w:tcPr>
            <w:tcW w:w="1327" w:type="dxa"/>
            <w:vAlign w:val="center"/>
          </w:tcPr>
          <w:p>
            <w:pPr>
              <w:pStyle w:val="19"/>
            </w:pPr>
            <w:r>
              <w:t>根据实际注册情况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年报率</w:t>
            </w:r>
          </w:p>
        </w:tc>
        <w:tc>
          <w:tcPr>
            <w:tcW w:w="2654" w:type="dxa"/>
            <w:vAlign w:val="center"/>
          </w:tcPr>
          <w:p>
            <w:pPr>
              <w:pStyle w:val="19"/>
            </w:pPr>
            <w:r>
              <w:t>参加年报公示的市场主体占所有市场主体的比例</w:t>
            </w:r>
          </w:p>
        </w:tc>
        <w:tc>
          <w:tcPr>
            <w:tcW w:w="1327" w:type="dxa"/>
            <w:vAlign w:val="center"/>
          </w:tcPr>
          <w:p>
            <w:pPr>
              <w:pStyle w:val="19"/>
            </w:pPr>
            <w:r>
              <w:t>≥70%</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完成及时性</w:t>
            </w:r>
          </w:p>
        </w:tc>
        <w:tc>
          <w:tcPr>
            <w:tcW w:w="2654" w:type="dxa"/>
            <w:vAlign w:val="center"/>
          </w:tcPr>
          <w:p>
            <w:pPr>
              <w:pStyle w:val="19"/>
            </w:pPr>
            <w:r>
              <w:t>年报宣传是否在规定时间完成</w:t>
            </w:r>
          </w:p>
        </w:tc>
        <w:tc>
          <w:tcPr>
            <w:tcW w:w="1327" w:type="dxa"/>
            <w:vAlign w:val="center"/>
          </w:tcPr>
          <w:p>
            <w:pPr>
              <w:pStyle w:val="19"/>
            </w:pPr>
            <w:r>
              <w:t>≤6月</w:t>
            </w:r>
          </w:p>
        </w:tc>
        <w:tc>
          <w:tcPr>
            <w:tcW w:w="1327" w:type="dxa"/>
            <w:vAlign w:val="center"/>
          </w:tcPr>
          <w:p>
            <w:pPr>
              <w:pStyle w:val="19"/>
            </w:pPr>
            <w:r>
              <w:t>年度工作开展计划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监管成本</w:t>
            </w:r>
          </w:p>
        </w:tc>
        <w:tc>
          <w:tcPr>
            <w:tcW w:w="2654" w:type="dxa"/>
            <w:vAlign w:val="center"/>
          </w:tcPr>
          <w:p>
            <w:pPr>
              <w:pStyle w:val="19"/>
            </w:pPr>
            <w:r>
              <w:t>市场主体每户平均监管成本</w:t>
            </w:r>
          </w:p>
        </w:tc>
        <w:tc>
          <w:tcPr>
            <w:tcW w:w="1327" w:type="dxa"/>
            <w:vAlign w:val="center"/>
          </w:tcPr>
          <w:p>
            <w:pPr>
              <w:pStyle w:val="19"/>
            </w:pPr>
            <w:r>
              <w:t>≤12.5元</w:t>
            </w:r>
          </w:p>
        </w:tc>
        <w:tc>
          <w:tcPr>
            <w:tcW w:w="1327" w:type="dxa"/>
            <w:vAlign w:val="center"/>
          </w:tcPr>
          <w:p>
            <w:pPr>
              <w:pStyle w:val="19"/>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重大案件发生次数</w:t>
            </w:r>
          </w:p>
        </w:tc>
        <w:tc>
          <w:tcPr>
            <w:tcW w:w="2654" w:type="dxa"/>
            <w:vAlign w:val="center"/>
          </w:tcPr>
          <w:p>
            <w:pPr>
              <w:pStyle w:val="19"/>
            </w:pPr>
            <w:r>
              <w:t>考核全年重大案件发生的次数</w:t>
            </w:r>
          </w:p>
        </w:tc>
        <w:tc>
          <w:tcPr>
            <w:tcW w:w="1327" w:type="dxa"/>
            <w:vAlign w:val="center"/>
          </w:tcPr>
          <w:p>
            <w:pPr>
              <w:pStyle w:val="19"/>
            </w:pPr>
            <w:r>
              <w:t>0次</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考核项目单位相关管理机制的建立健全情况</w:t>
            </w:r>
          </w:p>
        </w:tc>
        <w:tc>
          <w:tcPr>
            <w:tcW w:w="1327" w:type="dxa"/>
            <w:vAlign w:val="center"/>
          </w:tcPr>
          <w:p>
            <w:pPr>
              <w:pStyle w:val="19"/>
            </w:pPr>
            <w:r>
              <w:t>健全</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群众满意度</w:t>
            </w:r>
          </w:p>
        </w:tc>
        <w:tc>
          <w:tcPr>
            <w:tcW w:w="2654" w:type="dxa"/>
            <w:vAlign w:val="center"/>
          </w:tcPr>
          <w:p>
            <w:pPr>
              <w:pStyle w:val="19"/>
            </w:pPr>
            <w:r>
              <w:t>群众对工作开展的满意程度</w:t>
            </w:r>
          </w:p>
        </w:tc>
        <w:tc>
          <w:tcPr>
            <w:tcW w:w="1327" w:type="dxa"/>
            <w:vAlign w:val="center"/>
          </w:tcPr>
          <w:p>
            <w:pPr>
              <w:pStyle w:val="19"/>
            </w:pPr>
            <w:r>
              <w:t>≥90%</w:t>
            </w:r>
          </w:p>
        </w:tc>
        <w:tc>
          <w:tcPr>
            <w:tcW w:w="1327" w:type="dxa"/>
            <w:vAlign w:val="center"/>
          </w:tcPr>
          <w:p>
            <w:pPr>
              <w:pStyle w:val="19"/>
            </w:pPr>
            <w:r>
              <w:t>根据问卷调查结果</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21"/>
      <w:r>
        <w:rPr>
          <w:rFonts w:ascii="方正仿宋_GBK" w:hAnsi="方正仿宋_GBK" w:eastAsia="方正仿宋_GBK" w:cs="方正仿宋_GBK"/>
          <w:color w:val="000000"/>
          <w:sz w:val="28"/>
        </w:rPr>
        <w:t>18.市场秩序执法专项经费绩效目标表</w:t>
      </w:r>
      <w:bookmarkEnd w:id="1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13102422P00WEPW10002U</w:t>
            </w:r>
          </w:p>
        </w:tc>
        <w:tc>
          <w:tcPr>
            <w:tcW w:w="1327" w:type="dxa"/>
            <w:vAlign w:val="center"/>
          </w:tcPr>
          <w:p>
            <w:pPr>
              <w:pStyle w:val="18"/>
            </w:pPr>
            <w:r>
              <w:t>项目名称</w:t>
            </w:r>
          </w:p>
        </w:tc>
        <w:tc>
          <w:tcPr>
            <w:tcW w:w="3981" w:type="dxa"/>
            <w:gridSpan w:val="3"/>
            <w:vAlign w:val="center"/>
          </w:tcPr>
          <w:p>
            <w:pPr>
              <w:pStyle w:val="19"/>
            </w:pPr>
            <w:r>
              <w:t>市场秩序执法专项经费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50.00</w:t>
            </w:r>
          </w:p>
        </w:tc>
        <w:tc>
          <w:tcPr>
            <w:tcW w:w="1327" w:type="dxa"/>
            <w:vAlign w:val="center"/>
          </w:tcPr>
          <w:p>
            <w:pPr>
              <w:pStyle w:val="18"/>
            </w:pPr>
            <w:r>
              <w:t>其中：财政    资金</w:t>
            </w:r>
          </w:p>
        </w:tc>
        <w:tc>
          <w:tcPr>
            <w:tcW w:w="1327" w:type="dxa"/>
            <w:vAlign w:val="center"/>
          </w:tcPr>
          <w:p>
            <w:pPr>
              <w:pStyle w:val="19"/>
            </w:pPr>
            <w:r>
              <w:t>50.00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rPr>
                <w:lang w:eastAsia="zh-CN"/>
              </w:rPr>
            </w:pPr>
            <w:r>
              <w:t>用于依法规范和维护各类市场经营秩序监督管理市场交易行为和网络商品交易行为及有关服务，按分工依法查处食品安全、特种设备、无照生产经营、制造假冒伪劣、不正当竞争、商业贿赂，非法广告宣传、合同欺诈等违法行为，对价格进行监督检查，保护消费者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30%</w:t>
            </w:r>
          </w:p>
        </w:tc>
        <w:tc>
          <w:tcPr>
            <w:tcW w:w="1327" w:type="dxa"/>
            <w:vAlign w:val="center"/>
          </w:tcPr>
          <w:p>
            <w:pPr>
              <w:pStyle w:val="20"/>
            </w:pPr>
            <w:r>
              <w:t>60%</w:t>
            </w:r>
          </w:p>
        </w:tc>
        <w:tc>
          <w:tcPr>
            <w:tcW w:w="1327" w:type="dxa"/>
            <w:vAlign w:val="center"/>
          </w:tcPr>
          <w:p>
            <w:pPr>
              <w:pStyle w:val="20"/>
            </w:pPr>
            <w:r>
              <w:t>90%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深入推进执法体制改革，促进提升全县食品药品、知识产权、反不正当竞争、特种设备、区域产品质量等行政执法工作水平，形成统一开放竞争有序的现代市场体系，促进社会和谐稳定。</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执法活动次数</w:t>
            </w:r>
          </w:p>
        </w:tc>
        <w:tc>
          <w:tcPr>
            <w:tcW w:w="2654" w:type="dxa"/>
            <w:vAlign w:val="center"/>
          </w:tcPr>
          <w:p>
            <w:pPr>
              <w:pStyle w:val="19"/>
            </w:pPr>
            <w:r>
              <w:t>当年专项执法活动开展次数</w:t>
            </w:r>
          </w:p>
        </w:tc>
        <w:tc>
          <w:tcPr>
            <w:tcW w:w="1327" w:type="dxa"/>
            <w:vAlign w:val="center"/>
          </w:tcPr>
          <w:p>
            <w:pPr>
              <w:pStyle w:val="19"/>
            </w:pPr>
            <w:r>
              <w:t>≥6次</w:t>
            </w:r>
          </w:p>
        </w:tc>
        <w:tc>
          <w:tcPr>
            <w:tcW w:w="1327" w:type="dxa"/>
            <w:vAlign w:val="center"/>
          </w:tcPr>
          <w:p>
            <w:pPr>
              <w:pStyle w:val="19"/>
            </w:pPr>
            <w:r>
              <w:t>执法工作要点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专项执法行动落实率</w:t>
            </w:r>
          </w:p>
        </w:tc>
        <w:tc>
          <w:tcPr>
            <w:tcW w:w="2654" w:type="dxa"/>
            <w:vAlign w:val="center"/>
          </w:tcPr>
          <w:p>
            <w:pPr>
              <w:pStyle w:val="19"/>
            </w:pPr>
            <w:r>
              <w:t>专项执法活动落实情况</w:t>
            </w:r>
          </w:p>
        </w:tc>
        <w:tc>
          <w:tcPr>
            <w:tcW w:w="1327" w:type="dxa"/>
            <w:vAlign w:val="center"/>
          </w:tcPr>
          <w:p>
            <w:pPr>
              <w:pStyle w:val="19"/>
            </w:pPr>
            <w:r>
              <w:t>100%</w:t>
            </w:r>
          </w:p>
        </w:tc>
        <w:tc>
          <w:tcPr>
            <w:tcW w:w="1327" w:type="dxa"/>
            <w:vAlign w:val="center"/>
          </w:tcPr>
          <w:p>
            <w:pPr>
              <w:pStyle w:val="19"/>
            </w:pPr>
            <w:r>
              <w:t>通知、项目资料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及时性</w:t>
            </w:r>
          </w:p>
        </w:tc>
        <w:tc>
          <w:tcPr>
            <w:tcW w:w="2654" w:type="dxa"/>
            <w:vAlign w:val="center"/>
          </w:tcPr>
          <w:p>
            <w:pPr>
              <w:pStyle w:val="19"/>
            </w:pPr>
            <w:r>
              <w:t>是否按计划及时开展、完成专项执法活动</w:t>
            </w:r>
          </w:p>
        </w:tc>
        <w:tc>
          <w:tcPr>
            <w:tcW w:w="1327" w:type="dxa"/>
            <w:vAlign w:val="center"/>
          </w:tcPr>
          <w:p>
            <w:pPr>
              <w:pStyle w:val="19"/>
            </w:pPr>
            <w:r>
              <w:t>及时</w:t>
            </w:r>
          </w:p>
        </w:tc>
        <w:tc>
          <w:tcPr>
            <w:tcW w:w="1327" w:type="dxa"/>
            <w:vAlign w:val="center"/>
          </w:tcPr>
          <w:p>
            <w:pPr>
              <w:pStyle w:val="19"/>
            </w:pPr>
            <w:r>
              <w:t>工作计划资料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成本控制有效性</w:t>
            </w:r>
          </w:p>
        </w:tc>
        <w:tc>
          <w:tcPr>
            <w:tcW w:w="2654" w:type="dxa"/>
            <w:vAlign w:val="center"/>
          </w:tcPr>
          <w:p>
            <w:pPr>
              <w:pStyle w:val="19"/>
            </w:pPr>
            <w:r>
              <w:t>考核实际支出是否控制在预算金额内，反映成本控制情况</w:t>
            </w:r>
          </w:p>
        </w:tc>
        <w:tc>
          <w:tcPr>
            <w:tcW w:w="1327" w:type="dxa"/>
            <w:vAlign w:val="center"/>
          </w:tcPr>
          <w:p>
            <w:pPr>
              <w:pStyle w:val="19"/>
            </w:pPr>
            <w:r>
              <w:t>≤50万元</w:t>
            </w:r>
          </w:p>
        </w:tc>
        <w:tc>
          <w:tcPr>
            <w:tcW w:w="1327" w:type="dxa"/>
            <w:vAlign w:val="center"/>
          </w:tcPr>
          <w:p>
            <w:pPr>
              <w:pStyle w:val="19"/>
            </w:pPr>
            <w:r>
              <w:t>财务资料、预算文本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行政处罚信息公开率</w:t>
            </w:r>
          </w:p>
        </w:tc>
        <w:tc>
          <w:tcPr>
            <w:tcW w:w="2654" w:type="dxa"/>
            <w:vAlign w:val="center"/>
          </w:tcPr>
          <w:p>
            <w:pPr>
              <w:pStyle w:val="19"/>
            </w:pPr>
            <w:r>
              <w:t>本年度办案处罚公开情况</w:t>
            </w:r>
          </w:p>
        </w:tc>
        <w:tc>
          <w:tcPr>
            <w:tcW w:w="1327" w:type="dxa"/>
            <w:vAlign w:val="center"/>
          </w:tcPr>
          <w:p>
            <w:pPr>
              <w:pStyle w:val="19"/>
            </w:pPr>
            <w:r>
              <w:t>100%</w:t>
            </w:r>
          </w:p>
        </w:tc>
        <w:tc>
          <w:tcPr>
            <w:tcW w:w="1327" w:type="dxa"/>
            <w:vAlign w:val="center"/>
          </w:tcPr>
          <w:p>
            <w:pPr>
              <w:pStyle w:val="19"/>
            </w:pPr>
            <w:r>
              <w:t>公开资料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考核项目单位相关管理机制的建立健全情况</w:t>
            </w:r>
          </w:p>
        </w:tc>
        <w:tc>
          <w:tcPr>
            <w:tcW w:w="1327" w:type="dxa"/>
            <w:vAlign w:val="center"/>
          </w:tcPr>
          <w:p>
            <w:pPr>
              <w:pStyle w:val="19"/>
            </w:pPr>
            <w:r>
              <w:t>健全</w:t>
            </w:r>
          </w:p>
        </w:tc>
        <w:tc>
          <w:tcPr>
            <w:tcW w:w="1327" w:type="dxa"/>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群众满意度</w:t>
            </w:r>
          </w:p>
        </w:tc>
        <w:tc>
          <w:tcPr>
            <w:tcW w:w="2654" w:type="dxa"/>
            <w:vAlign w:val="center"/>
          </w:tcPr>
          <w:p>
            <w:pPr>
              <w:pStyle w:val="19"/>
            </w:pPr>
            <w:r>
              <w:t>调查中满意的人数占调查总数的比率</w:t>
            </w:r>
          </w:p>
        </w:tc>
        <w:tc>
          <w:tcPr>
            <w:tcW w:w="1327" w:type="dxa"/>
            <w:vAlign w:val="center"/>
          </w:tcPr>
          <w:p>
            <w:pPr>
              <w:pStyle w:val="19"/>
            </w:pPr>
            <w:r>
              <w:t>≥0.85%</w:t>
            </w:r>
          </w:p>
        </w:tc>
        <w:tc>
          <w:tcPr>
            <w:tcW w:w="1327" w:type="dxa"/>
            <w:vAlign w:val="center"/>
          </w:tcPr>
          <w:p>
            <w:pPr>
              <w:pStyle w:val="19"/>
            </w:pPr>
            <w:r>
              <w:t>调查问卷</w:t>
            </w:r>
          </w:p>
        </w:tc>
      </w:tr>
    </w:tbl>
    <w:p>
      <w:pPr>
        <w:sectPr>
          <w:pgSz w:w="11900" w:h="16840"/>
          <w:pgMar w:top="1984" w:right="1304" w:bottom="1134" w:left="1304" w:header="720" w:footer="720" w:gutter="0"/>
          <w:cols w:space="720" w:num="1"/>
        </w:sectPr>
      </w:pPr>
    </w:p>
    <w:p>
      <w:pPr>
        <w:ind w:firstLine="560"/>
        <w:outlineLvl w:val="3"/>
      </w:pPr>
      <w:r>
        <w:rPr>
          <w:rFonts w:ascii="方正仿宋_GBK" w:hAnsi="方正仿宋_GBK" w:eastAsia="方正仿宋_GBK" w:cs="方正仿宋_GBK"/>
          <w:color w:val="000000"/>
          <w:sz w:val="28"/>
        </w:rPr>
        <w:t>19.质量安全监管经费绩效目标表</w:t>
      </w:r>
    </w:p>
    <w:tbl>
      <w:tblPr>
        <w:tblStyle w:val="8"/>
        <w:tblW w:w="974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78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78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13102422P0051M010002E</w:t>
            </w:r>
          </w:p>
        </w:tc>
        <w:tc>
          <w:tcPr>
            <w:tcW w:w="1327" w:type="dxa"/>
            <w:vAlign w:val="center"/>
          </w:tcPr>
          <w:p>
            <w:pPr>
              <w:pStyle w:val="18"/>
            </w:pPr>
            <w:r>
              <w:t>项目名称</w:t>
            </w:r>
          </w:p>
        </w:tc>
        <w:tc>
          <w:tcPr>
            <w:tcW w:w="4437" w:type="dxa"/>
            <w:gridSpan w:val="3"/>
            <w:vAlign w:val="center"/>
          </w:tcPr>
          <w:p>
            <w:pPr>
              <w:pStyle w:val="19"/>
            </w:pPr>
            <w:r>
              <w:t>质量安全监管经费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40.00</w:t>
            </w:r>
          </w:p>
        </w:tc>
        <w:tc>
          <w:tcPr>
            <w:tcW w:w="1327" w:type="dxa"/>
            <w:vAlign w:val="center"/>
          </w:tcPr>
          <w:p>
            <w:pPr>
              <w:pStyle w:val="18"/>
            </w:pPr>
            <w:r>
              <w:t>其中：财政    资金</w:t>
            </w:r>
          </w:p>
        </w:tc>
        <w:tc>
          <w:tcPr>
            <w:tcW w:w="1327" w:type="dxa"/>
            <w:vAlign w:val="center"/>
          </w:tcPr>
          <w:p>
            <w:pPr>
              <w:pStyle w:val="19"/>
            </w:pPr>
            <w:r>
              <w:t>40.00</w:t>
            </w:r>
          </w:p>
        </w:tc>
        <w:tc>
          <w:tcPr>
            <w:tcW w:w="1327" w:type="dxa"/>
            <w:vAlign w:val="center"/>
          </w:tcPr>
          <w:p>
            <w:pPr>
              <w:pStyle w:val="18"/>
            </w:pPr>
            <w:r>
              <w:t>其他资金</w:t>
            </w:r>
          </w:p>
        </w:tc>
        <w:tc>
          <w:tcPr>
            <w:tcW w:w="178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418" w:type="dxa"/>
            <w:gridSpan w:val="6"/>
            <w:vAlign w:val="center"/>
          </w:tcPr>
          <w:p>
            <w:pPr>
              <w:pStyle w:val="19"/>
              <w:rPr>
                <w:sz w:val="18"/>
                <w:szCs w:val="18"/>
              </w:rPr>
            </w:pPr>
            <w:r>
              <w:rPr>
                <w:szCs w:val="21"/>
              </w:rPr>
              <w:t>用于质量强县宣传推广活动，组织开展家具相关产品抽检、特种设备质量安全宣传及检查、实验室专项检查及检测机构检查活动，进行标准器检测及保障机动车运行，强化质量意识，保护消费者的合法权益及生命财产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3110"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30%</w:t>
            </w:r>
          </w:p>
        </w:tc>
        <w:tc>
          <w:tcPr>
            <w:tcW w:w="1327" w:type="dxa"/>
            <w:vAlign w:val="center"/>
          </w:tcPr>
          <w:p>
            <w:pPr>
              <w:pStyle w:val="20"/>
            </w:pPr>
            <w:r>
              <w:t>60%</w:t>
            </w:r>
          </w:p>
        </w:tc>
        <w:tc>
          <w:tcPr>
            <w:tcW w:w="1327" w:type="dxa"/>
            <w:vAlign w:val="center"/>
          </w:tcPr>
          <w:p>
            <w:pPr>
              <w:pStyle w:val="20"/>
            </w:pPr>
            <w:r>
              <w:t>90%</w:t>
            </w:r>
          </w:p>
        </w:tc>
        <w:tc>
          <w:tcPr>
            <w:tcW w:w="3110"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8418" w:type="dxa"/>
            <w:gridSpan w:val="6"/>
            <w:vAlign w:val="center"/>
          </w:tcPr>
          <w:p>
            <w:pPr>
              <w:pStyle w:val="19"/>
            </w:pPr>
            <w:r>
              <w:rPr>
                <w:szCs w:val="21"/>
              </w:rPr>
              <w:t>通过质量强县宣传工作及各项监督检查工作的开展，使质量意识深入人心，营造人人关心质量的氛围，保护消费者的合法权益及生命财产安全，力促我县“质量立县、品质香河”目标的实现。</w:t>
            </w:r>
          </w:p>
        </w:tc>
      </w:tr>
    </w:tbl>
    <w:p>
      <w:pPr>
        <w:spacing w:line="2" w:lineRule="exact"/>
        <w:jc w:val="center"/>
      </w:pPr>
      <w:r>
        <w:rPr>
          <w:rFonts w:ascii="方正书宋_GBK" w:hAnsi="方正书宋_GBK" w:eastAsia="方正书宋_GBK" w:cs="方正书宋_GBK"/>
          <w:color w:val="000000"/>
        </w:rPr>
        <w:t xml:space="preserve"> </w:t>
      </w:r>
    </w:p>
    <w:tbl>
      <w:tblPr>
        <w:tblStyle w:val="8"/>
        <w:tblW w:w="97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413"/>
        <w:gridCol w:w="1675"/>
        <w:gridCol w:w="2610"/>
        <w:gridCol w:w="937"/>
        <w:gridCol w:w="17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413" w:type="dxa"/>
            <w:vAlign w:val="center"/>
          </w:tcPr>
          <w:p>
            <w:pPr>
              <w:pStyle w:val="18"/>
            </w:pPr>
            <w:r>
              <w:t>二级指标</w:t>
            </w:r>
          </w:p>
        </w:tc>
        <w:tc>
          <w:tcPr>
            <w:tcW w:w="1675" w:type="dxa"/>
            <w:vAlign w:val="center"/>
          </w:tcPr>
          <w:p>
            <w:pPr>
              <w:pStyle w:val="18"/>
            </w:pPr>
            <w:r>
              <w:t>三级指标</w:t>
            </w:r>
          </w:p>
        </w:tc>
        <w:tc>
          <w:tcPr>
            <w:tcW w:w="2610" w:type="dxa"/>
            <w:vAlign w:val="center"/>
          </w:tcPr>
          <w:p>
            <w:pPr>
              <w:pStyle w:val="18"/>
            </w:pPr>
            <w:r>
              <w:t>绩效指标描述</w:t>
            </w:r>
          </w:p>
        </w:tc>
        <w:tc>
          <w:tcPr>
            <w:tcW w:w="937" w:type="dxa"/>
            <w:vAlign w:val="center"/>
          </w:tcPr>
          <w:p>
            <w:pPr>
              <w:pStyle w:val="18"/>
            </w:pPr>
            <w:r>
              <w:t>指标值</w:t>
            </w:r>
          </w:p>
        </w:tc>
        <w:tc>
          <w:tcPr>
            <w:tcW w:w="1791"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413" w:type="dxa"/>
            <w:vAlign w:val="center"/>
          </w:tcPr>
          <w:p>
            <w:pPr>
              <w:pStyle w:val="19"/>
            </w:pPr>
            <w:r>
              <w:t>数量指标</w:t>
            </w:r>
          </w:p>
        </w:tc>
        <w:tc>
          <w:tcPr>
            <w:tcW w:w="1675" w:type="dxa"/>
            <w:vAlign w:val="center"/>
          </w:tcPr>
          <w:p>
            <w:pPr>
              <w:pStyle w:val="19"/>
            </w:pPr>
            <w:r>
              <w:t>质量强县宣传培训活动数量</w:t>
            </w:r>
          </w:p>
        </w:tc>
        <w:tc>
          <w:tcPr>
            <w:tcW w:w="2610" w:type="dxa"/>
            <w:vAlign w:val="center"/>
          </w:tcPr>
          <w:p>
            <w:pPr>
              <w:pStyle w:val="19"/>
            </w:pPr>
            <w:r>
              <w:t>质量强县宣传及相关培训场次</w:t>
            </w:r>
          </w:p>
        </w:tc>
        <w:tc>
          <w:tcPr>
            <w:tcW w:w="937" w:type="dxa"/>
            <w:vAlign w:val="center"/>
          </w:tcPr>
          <w:p>
            <w:pPr>
              <w:pStyle w:val="19"/>
            </w:pPr>
            <w:r>
              <w:t>≥7场次</w:t>
            </w:r>
          </w:p>
        </w:tc>
        <w:tc>
          <w:tcPr>
            <w:tcW w:w="1791" w:type="dxa"/>
            <w:vAlign w:val="center"/>
          </w:tcPr>
          <w:p>
            <w:pPr>
              <w:pStyle w:val="19"/>
            </w:pPr>
            <w:r>
              <w:rPr>
                <w:szCs w:val="21"/>
              </w:rPr>
              <w:t>香发【2018】21号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13" w:type="dxa"/>
            <w:vAlign w:val="center"/>
          </w:tcPr>
          <w:p>
            <w:pPr>
              <w:pStyle w:val="19"/>
            </w:pPr>
            <w:r>
              <w:t>数量指标</w:t>
            </w:r>
          </w:p>
        </w:tc>
        <w:tc>
          <w:tcPr>
            <w:tcW w:w="1675" w:type="dxa"/>
            <w:vAlign w:val="center"/>
          </w:tcPr>
          <w:p>
            <w:pPr>
              <w:pStyle w:val="19"/>
            </w:pPr>
            <w:r>
              <w:t>家具抽检批次</w:t>
            </w:r>
          </w:p>
        </w:tc>
        <w:tc>
          <w:tcPr>
            <w:tcW w:w="2610" w:type="dxa"/>
            <w:vAlign w:val="center"/>
          </w:tcPr>
          <w:p>
            <w:pPr>
              <w:pStyle w:val="19"/>
            </w:pPr>
            <w:r>
              <w:t>实际完成家具抽检批次</w:t>
            </w:r>
          </w:p>
        </w:tc>
        <w:tc>
          <w:tcPr>
            <w:tcW w:w="937" w:type="dxa"/>
            <w:vAlign w:val="center"/>
          </w:tcPr>
          <w:p>
            <w:pPr>
              <w:pStyle w:val="19"/>
            </w:pPr>
            <w:r>
              <w:t>≥35批次</w:t>
            </w:r>
          </w:p>
        </w:tc>
        <w:tc>
          <w:tcPr>
            <w:tcW w:w="1791" w:type="dxa"/>
            <w:vAlign w:val="center"/>
          </w:tcPr>
          <w:p>
            <w:pPr>
              <w:pStyle w:val="19"/>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13" w:type="dxa"/>
            <w:vAlign w:val="center"/>
          </w:tcPr>
          <w:p>
            <w:pPr>
              <w:pStyle w:val="19"/>
            </w:pPr>
            <w:r>
              <w:t>数量指标</w:t>
            </w:r>
          </w:p>
        </w:tc>
        <w:tc>
          <w:tcPr>
            <w:tcW w:w="1675" w:type="dxa"/>
            <w:vAlign w:val="center"/>
          </w:tcPr>
          <w:p>
            <w:pPr>
              <w:pStyle w:val="19"/>
            </w:pPr>
            <w:r>
              <w:t>检查检测机构数量</w:t>
            </w:r>
          </w:p>
        </w:tc>
        <w:tc>
          <w:tcPr>
            <w:tcW w:w="2610" w:type="dxa"/>
            <w:vAlign w:val="center"/>
          </w:tcPr>
          <w:p>
            <w:pPr>
              <w:pStyle w:val="19"/>
            </w:pPr>
            <w:r>
              <w:t>2022年检测机构检查数量</w:t>
            </w:r>
          </w:p>
        </w:tc>
        <w:tc>
          <w:tcPr>
            <w:tcW w:w="937" w:type="dxa"/>
            <w:vAlign w:val="center"/>
          </w:tcPr>
          <w:p>
            <w:pPr>
              <w:pStyle w:val="19"/>
            </w:pPr>
            <w:r>
              <w:t>≥13家</w:t>
            </w:r>
          </w:p>
        </w:tc>
        <w:tc>
          <w:tcPr>
            <w:tcW w:w="1791" w:type="dxa"/>
            <w:vAlign w:val="center"/>
          </w:tcPr>
          <w:p>
            <w:pPr>
              <w:pStyle w:val="19"/>
            </w:pPr>
            <w:r>
              <w:t>资质文件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13" w:type="dxa"/>
            <w:vAlign w:val="center"/>
          </w:tcPr>
          <w:p>
            <w:pPr>
              <w:pStyle w:val="19"/>
            </w:pPr>
            <w:r>
              <w:t>质量指标</w:t>
            </w:r>
          </w:p>
        </w:tc>
        <w:tc>
          <w:tcPr>
            <w:tcW w:w="1675" w:type="dxa"/>
            <w:vAlign w:val="center"/>
          </w:tcPr>
          <w:p>
            <w:pPr>
              <w:pStyle w:val="19"/>
            </w:pPr>
            <w:r>
              <w:t>重点特种设备使用单位检查率</w:t>
            </w:r>
          </w:p>
        </w:tc>
        <w:tc>
          <w:tcPr>
            <w:tcW w:w="2610" w:type="dxa"/>
            <w:vAlign w:val="center"/>
          </w:tcPr>
          <w:p>
            <w:pPr>
              <w:pStyle w:val="19"/>
            </w:pPr>
            <w:r>
              <w:t>重点特种设备使用单位实际检查数量占重点特种设备使用单位总数比例</w:t>
            </w:r>
          </w:p>
        </w:tc>
        <w:tc>
          <w:tcPr>
            <w:tcW w:w="937" w:type="dxa"/>
            <w:vAlign w:val="center"/>
          </w:tcPr>
          <w:p>
            <w:pPr>
              <w:pStyle w:val="19"/>
            </w:pPr>
            <w:r>
              <w:t>100%</w:t>
            </w:r>
          </w:p>
        </w:tc>
        <w:tc>
          <w:tcPr>
            <w:tcW w:w="1791" w:type="dxa"/>
            <w:vAlign w:val="center"/>
          </w:tcPr>
          <w:p>
            <w:pPr>
              <w:pStyle w:val="19"/>
            </w:pPr>
            <w:r>
              <w:t>部门规章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13" w:type="dxa"/>
            <w:vAlign w:val="center"/>
          </w:tcPr>
          <w:p>
            <w:pPr>
              <w:pStyle w:val="19"/>
            </w:pPr>
            <w:r>
              <w:t>时效指标</w:t>
            </w:r>
          </w:p>
        </w:tc>
        <w:tc>
          <w:tcPr>
            <w:tcW w:w="1675" w:type="dxa"/>
            <w:vAlign w:val="center"/>
          </w:tcPr>
          <w:p>
            <w:pPr>
              <w:pStyle w:val="19"/>
            </w:pPr>
            <w:r>
              <w:t>完成及时率</w:t>
            </w:r>
          </w:p>
        </w:tc>
        <w:tc>
          <w:tcPr>
            <w:tcW w:w="2610" w:type="dxa"/>
            <w:vAlign w:val="center"/>
          </w:tcPr>
          <w:p>
            <w:pPr>
              <w:pStyle w:val="19"/>
            </w:pPr>
            <w:r>
              <w:t>项目完成时间</w:t>
            </w:r>
          </w:p>
        </w:tc>
        <w:tc>
          <w:tcPr>
            <w:tcW w:w="937" w:type="dxa"/>
            <w:vAlign w:val="center"/>
          </w:tcPr>
          <w:p>
            <w:pPr>
              <w:pStyle w:val="19"/>
            </w:pPr>
            <w:r>
              <w:t>≤12月</w:t>
            </w:r>
          </w:p>
        </w:tc>
        <w:tc>
          <w:tcPr>
            <w:tcW w:w="1791" w:type="dxa"/>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13" w:type="dxa"/>
            <w:vAlign w:val="center"/>
          </w:tcPr>
          <w:p>
            <w:pPr>
              <w:pStyle w:val="19"/>
            </w:pPr>
            <w:r>
              <w:t>成本指标</w:t>
            </w:r>
          </w:p>
        </w:tc>
        <w:tc>
          <w:tcPr>
            <w:tcW w:w="1675" w:type="dxa"/>
            <w:vAlign w:val="center"/>
          </w:tcPr>
          <w:p>
            <w:pPr>
              <w:pStyle w:val="19"/>
            </w:pPr>
            <w:r>
              <w:t>家具抽检单批平均成本</w:t>
            </w:r>
          </w:p>
        </w:tc>
        <w:tc>
          <w:tcPr>
            <w:tcW w:w="2610" w:type="dxa"/>
            <w:vAlign w:val="center"/>
          </w:tcPr>
          <w:p>
            <w:pPr>
              <w:pStyle w:val="19"/>
            </w:pPr>
            <w:r>
              <w:t>家具抽检单批平均成本</w:t>
            </w:r>
          </w:p>
        </w:tc>
        <w:tc>
          <w:tcPr>
            <w:tcW w:w="937" w:type="dxa"/>
            <w:vAlign w:val="center"/>
          </w:tcPr>
          <w:p>
            <w:pPr>
              <w:pStyle w:val="19"/>
            </w:pPr>
            <w:r>
              <w:t>≤0.3万元</w:t>
            </w:r>
          </w:p>
        </w:tc>
        <w:tc>
          <w:tcPr>
            <w:tcW w:w="1791" w:type="dxa"/>
            <w:vAlign w:val="center"/>
          </w:tcPr>
          <w:p>
            <w:pPr>
              <w:pStyle w:val="19"/>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413" w:type="dxa"/>
            <w:vAlign w:val="center"/>
          </w:tcPr>
          <w:p>
            <w:pPr>
              <w:pStyle w:val="19"/>
            </w:pPr>
            <w:r>
              <w:t>社会效益指标</w:t>
            </w:r>
          </w:p>
        </w:tc>
        <w:tc>
          <w:tcPr>
            <w:tcW w:w="1675" w:type="dxa"/>
            <w:vAlign w:val="center"/>
          </w:tcPr>
          <w:p>
            <w:pPr>
              <w:pStyle w:val="19"/>
            </w:pPr>
            <w:r>
              <w:t>检查检测检查覆盖率</w:t>
            </w:r>
          </w:p>
        </w:tc>
        <w:tc>
          <w:tcPr>
            <w:tcW w:w="2610" w:type="dxa"/>
            <w:vAlign w:val="center"/>
          </w:tcPr>
          <w:p>
            <w:pPr>
              <w:pStyle w:val="19"/>
            </w:pPr>
            <w:r>
              <w:t>实施检检测检机构数量占全部检测机构数量</w:t>
            </w:r>
          </w:p>
        </w:tc>
        <w:tc>
          <w:tcPr>
            <w:tcW w:w="937" w:type="dxa"/>
            <w:vAlign w:val="center"/>
          </w:tcPr>
          <w:p>
            <w:pPr>
              <w:pStyle w:val="19"/>
            </w:pPr>
            <w:r>
              <w:t>100%</w:t>
            </w:r>
          </w:p>
        </w:tc>
        <w:tc>
          <w:tcPr>
            <w:tcW w:w="1791" w:type="dxa"/>
            <w:vAlign w:val="center"/>
          </w:tcPr>
          <w:p>
            <w:pPr>
              <w:pStyle w:val="19"/>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13" w:type="dxa"/>
            <w:vAlign w:val="center"/>
          </w:tcPr>
          <w:p>
            <w:pPr>
              <w:pStyle w:val="19"/>
            </w:pPr>
            <w:r>
              <w:t>社会效益指标</w:t>
            </w:r>
          </w:p>
        </w:tc>
        <w:tc>
          <w:tcPr>
            <w:tcW w:w="1675" w:type="dxa"/>
            <w:vAlign w:val="center"/>
          </w:tcPr>
          <w:p>
            <w:pPr>
              <w:pStyle w:val="19"/>
            </w:pPr>
            <w:r>
              <w:t>宣传活动知晓率</w:t>
            </w:r>
          </w:p>
        </w:tc>
        <w:tc>
          <w:tcPr>
            <w:tcW w:w="2610" w:type="dxa"/>
            <w:vAlign w:val="center"/>
          </w:tcPr>
          <w:p>
            <w:pPr>
              <w:pStyle w:val="19"/>
            </w:pPr>
            <w:r>
              <w:t>质量强县宣传活动知晓情况</w:t>
            </w:r>
          </w:p>
        </w:tc>
        <w:tc>
          <w:tcPr>
            <w:tcW w:w="937" w:type="dxa"/>
            <w:vAlign w:val="center"/>
          </w:tcPr>
          <w:p>
            <w:pPr>
              <w:pStyle w:val="19"/>
            </w:pPr>
            <w:r>
              <w:t>≥85%</w:t>
            </w:r>
          </w:p>
        </w:tc>
        <w:tc>
          <w:tcPr>
            <w:tcW w:w="1791" w:type="dxa"/>
            <w:vAlign w:val="center"/>
          </w:tcPr>
          <w:p>
            <w:pPr>
              <w:pStyle w:val="19"/>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13" w:type="dxa"/>
            <w:vAlign w:val="center"/>
          </w:tcPr>
          <w:p>
            <w:pPr>
              <w:pStyle w:val="19"/>
            </w:pPr>
            <w:r>
              <w:t>可持续影响指标</w:t>
            </w:r>
          </w:p>
        </w:tc>
        <w:tc>
          <w:tcPr>
            <w:tcW w:w="1675" w:type="dxa"/>
            <w:vAlign w:val="center"/>
          </w:tcPr>
          <w:p>
            <w:pPr>
              <w:pStyle w:val="19"/>
            </w:pPr>
            <w:r>
              <w:t>长效管理机制健全性</w:t>
            </w:r>
          </w:p>
        </w:tc>
        <w:tc>
          <w:tcPr>
            <w:tcW w:w="2610" w:type="dxa"/>
            <w:vAlign w:val="center"/>
          </w:tcPr>
          <w:p>
            <w:pPr>
              <w:pStyle w:val="19"/>
            </w:pPr>
            <w:r>
              <w:t>考核项目单位相关管理机制的建立健全情况</w:t>
            </w:r>
          </w:p>
        </w:tc>
        <w:tc>
          <w:tcPr>
            <w:tcW w:w="937" w:type="dxa"/>
            <w:vAlign w:val="center"/>
          </w:tcPr>
          <w:p>
            <w:pPr>
              <w:pStyle w:val="19"/>
            </w:pPr>
            <w:r>
              <w:t>健全</w:t>
            </w:r>
          </w:p>
        </w:tc>
        <w:tc>
          <w:tcPr>
            <w:tcW w:w="1791" w:type="dxa"/>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413" w:type="dxa"/>
            <w:vAlign w:val="center"/>
          </w:tcPr>
          <w:p>
            <w:pPr>
              <w:pStyle w:val="19"/>
            </w:pPr>
            <w:r>
              <w:t>服务对象满意度指标</w:t>
            </w:r>
          </w:p>
        </w:tc>
        <w:tc>
          <w:tcPr>
            <w:tcW w:w="1675" w:type="dxa"/>
            <w:vAlign w:val="center"/>
          </w:tcPr>
          <w:p>
            <w:pPr>
              <w:pStyle w:val="19"/>
            </w:pPr>
            <w:r>
              <w:t>公共服务质量满意度</w:t>
            </w:r>
          </w:p>
        </w:tc>
        <w:tc>
          <w:tcPr>
            <w:tcW w:w="2610" w:type="dxa"/>
            <w:vAlign w:val="center"/>
          </w:tcPr>
          <w:p>
            <w:pPr>
              <w:pStyle w:val="19"/>
            </w:pPr>
            <w:r>
              <w:t>相关人员对公共服务质量的满意度</w:t>
            </w:r>
          </w:p>
        </w:tc>
        <w:tc>
          <w:tcPr>
            <w:tcW w:w="937" w:type="dxa"/>
            <w:vAlign w:val="center"/>
          </w:tcPr>
          <w:p>
            <w:pPr>
              <w:pStyle w:val="19"/>
            </w:pPr>
            <w:r>
              <w:t>≥85%</w:t>
            </w:r>
          </w:p>
        </w:tc>
        <w:tc>
          <w:tcPr>
            <w:tcW w:w="1791" w:type="dxa"/>
            <w:vAlign w:val="center"/>
          </w:tcPr>
          <w:p>
            <w:pPr>
              <w:pStyle w:val="19"/>
            </w:pPr>
            <w:r>
              <w:t>根据实际调查询问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8" w:name="_Toc471398468"/>
      <w:r>
        <w:rPr>
          <w:rFonts w:ascii="Times New Roman" w:hAnsi="Times New Roman" w:eastAsia="仿宋_GB2312" w:cs="Times New Roman"/>
          <w:sz w:val="32"/>
          <w:szCs w:val="24"/>
        </w:rPr>
        <w:t>2022年，我部门安排政府采购预算</w:t>
      </w:r>
      <w:r>
        <w:rPr>
          <w:rFonts w:hint="eastAsia" w:ascii="Times New Roman" w:hAnsi="Times New Roman" w:eastAsia="仿宋_GB2312" w:cs="Times New Roman"/>
          <w:sz w:val="32"/>
          <w:szCs w:val="24"/>
        </w:rPr>
        <w:t>255</w:t>
      </w:r>
      <w:r>
        <w:rPr>
          <w:rFonts w:ascii="Times New Roman" w:hAnsi="Times New Roman" w:eastAsia="仿宋_GB2312" w:cs="Times New Roman"/>
          <w:sz w:val="32"/>
          <w:szCs w:val="24"/>
        </w:rPr>
        <w:t>万元。具体内容见下表。</w:t>
      </w:r>
    </w:p>
    <w:bookmarkEnd w:id="18"/>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9" w:name="_Toc64920910"/>
      <w:r>
        <w:rPr>
          <w:rFonts w:hint="eastAsia" w:ascii="方正小标宋_GBK" w:eastAsia="方正小标宋_GBK" w:cs="Times New Roman"/>
          <w:sz w:val="32"/>
        </w:rPr>
        <w:t>部门政府采购预算</w:t>
      </w:r>
      <w:bookmarkEnd w:id="19"/>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ascii="方正小标宋_GBK" w:eastAsia="方正小标宋_GBK" w:cs="Times New Roman"/>
                <w:sz w:val="24"/>
              </w:rPr>
              <w:t>香河县</w:t>
            </w:r>
            <w:r>
              <w:rPr>
                <w:rFonts w:hint="eastAsia" w:ascii="方正小标宋_GBK" w:eastAsia="方正小标宋_GBK"/>
                <w:sz w:val="24"/>
                <w:lang w:val="en-US" w:eastAsia="zh-CN"/>
              </w:rPr>
              <w:t>市场监督管理局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255</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255</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255</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t>产品质量抽检经费</w:t>
            </w:r>
          </w:p>
        </w:tc>
        <w:tc>
          <w:tcPr>
            <w:tcW w:w="1134" w:type="dxa"/>
            <w:shd w:val="clear" w:color="auto" w:fill="auto"/>
            <w:vAlign w:val="center"/>
          </w:tcPr>
          <w:p>
            <w:pPr>
              <w:pStyle w:val="17"/>
            </w:pPr>
            <w:r>
              <w:t>80.00</w:t>
            </w:r>
          </w:p>
        </w:tc>
        <w:tc>
          <w:tcPr>
            <w:tcW w:w="1531" w:type="dxa"/>
            <w:shd w:val="clear" w:color="auto" w:fill="auto"/>
            <w:vAlign w:val="center"/>
          </w:tcPr>
          <w:p>
            <w:pPr>
              <w:pStyle w:val="19"/>
            </w:pPr>
            <w:r>
              <w:t>技术测试和分析服务</w:t>
            </w:r>
          </w:p>
        </w:tc>
        <w:tc>
          <w:tcPr>
            <w:tcW w:w="1531" w:type="dxa"/>
            <w:shd w:val="clear" w:color="auto" w:fill="auto"/>
            <w:vAlign w:val="center"/>
          </w:tcPr>
          <w:p>
            <w:pPr>
              <w:pStyle w:val="19"/>
            </w:pPr>
            <w:r>
              <w:t>C0901</w:t>
            </w:r>
          </w:p>
        </w:tc>
        <w:tc>
          <w:tcPr>
            <w:tcW w:w="709" w:type="dxa"/>
            <w:shd w:val="clear" w:color="auto" w:fill="auto"/>
            <w:vAlign w:val="center"/>
          </w:tcPr>
          <w:p>
            <w:pPr>
              <w:pStyle w:val="20"/>
            </w:pPr>
            <w:r>
              <w:t>万元</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907" w:type="dxa"/>
            <w:shd w:val="clear" w:color="auto" w:fill="auto"/>
            <w:vAlign w:val="center"/>
          </w:tcPr>
          <w:p>
            <w:pPr>
              <w:pStyle w:val="17"/>
            </w:pPr>
            <w:r>
              <w:t>50.00</w:t>
            </w:r>
          </w:p>
        </w:tc>
        <w:tc>
          <w:tcPr>
            <w:tcW w:w="1134" w:type="dxa"/>
            <w:shd w:val="clear" w:color="auto" w:fill="auto"/>
            <w:vAlign w:val="center"/>
          </w:tcPr>
          <w:p>
            <w:pPr>
              <w:pStyle w:val="17"/>
            </w:pPr>
            <w:r>
              <w:t>50.00</w:t>
            </w:r>
          </w:p>
        </w:tc>
        <w:tc>
          <w:tcPr>
            <w:tcW w:w="1134" w:type="dxa"/>
            <w:shd w:val="clear" w:color="auto" w:fill="auto"/>
            <w:vAlign w:val="center"/>
          </w:tcPr>
          <w:p>
            <w:pPr>
              <w:pStyle w:val="17"/>
            </w:pPr>
            <w:r>
              <w:t>50.00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9"/>
            </w:pPr>
            <w:r>
              <w:t>企业公示信息抽查经费</w:t>
            </w:r>
          </w:p>
        </w:tc>
        <w:tc>
          <w:tcPr>
            <w:tcW w:w="1134" w:type="dxa"/>
            <w:shd w:val="clear" w:color="auto" w:fill="auto"/>
            <w:vAlign w:val="center"/>
          </w:tcPr>
          <w:p>
            <w:pPr>
              <w:pStyle w:val="17"/>
            </w:pPr>
            <w:r>
              <w:t>75.00</w:t>
            </w:r>
          </w:p>
        </w:tc>
        <w:tc>
          <w:tcPr>
            <w:tcW w:w="1531" w:type="dxa"/>
            <w:shd w:val="clear" w:color="auto" w:fill="auto"/>
            <w:vAlign w:val="center"/>
          </w:tcPr>
          <w:p>
            <w:pPr>
              <w:pStyle w:val="19"/>
            </w:pPr>
            <w:r>
              <w:t>审计服务</w:t>
            </w:r>
          </w:p>
        </w:tc>
        <w:tc>
          <w:tcPr>
            <w:tcW w:w="1531" w:type="dxa"/>
            <w:shd w:val="clear" w:color="auto" w:fill="auto"/>
            <w:vAlign w:val="center"/>
          </w:tcPr>
          <w:p>
            <w:pPr>
              <w:pStyle w:val="19"/>
            </w:pPr>
            <w:r>
              <w:t>C0803</w:t>
            </w:r>
          </w:p>
        </w:tc>
        <w:tc>
          <w:tcPr>
            <w:tcW w:w="709" w:type="dxa"/>
            <w:shd w:val="clear" w:color="auto" w:fill="auto"/>
            <w:vAlign w:val="center"/>
          </w:tcPr>
          <w:p>
            <w:pPr>
              <w:pStyle w:val="20"/>
            </w:pPr>
            <w:r>
              <w:t>万元</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907" w:type="dxa"/>
            <w:shd w:val="clear" w:color="auto" w:fill="auto"/>
            <w:vAlign w:val="center"/>
          </w:tcPr>
          <w:p>
            <w:pPr>
              <w:pStyle w:val="17"/>
            </w:pPr>
            <w:r>
              <w:t>75.00</w:t>
            </w:r>
          </w:p>
        </w:tc>
        <w:tc>
          <w:tcPr>
            <w:tcW w:w="1134" w:type="dxa"/>
            <w:shd w:val="clear" w:color="auto" w:fill="auto"/>
            <w:vAlign w:val="center"/>
          </w:tcPr>
          <w:p>
            <w:pPr>
              <w:pStyle w:val="17"/>
            </w:pPr>
            <w:r>
              <w:t>75.00</w:t>
            </w:r>
          </w:p>
        </w:tc>
        <w:tc>
          <w:tcPr>
            <w:tcW w:w="1134" w:type="dxa"/>
            <w:shd w:val="clear" w:color="auto" w:fill="auto"/>
            <w:vAlign w:val="center"/>
          </w:tcPr>
          <w:p>
            <w:pPr>
              <w:pStyle w:val="17"/>
            </w:pPr>
            <w:r>
              <w:t>75.00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9"/>
            </w:pPr>
            <w:r>
              <w:t>食品抽检经费</w:t>
            </w:r>
          </w:p>
        </w:tc>
        <w:tc>
          <w:tcPr>
            <w:tcW w:w="1134" w:type="dxa"/>
            <w:shd w:val="clear" w:color="auto" w:fill="auto"/>
            <w:vAlign w:val="center"/>
          </w:tcPr>
          <w:p>
            <w:pPr>
              <w:pStyle w:val="17"/>
            </w:pPr>
            <w:r>
              <w:t>130.00</w:t>
            </w:r>
          </w:p>
        </w:tc>
        <w:tc>
          <w:tcPr>
            <w:tcW w:w="1531" w:type="dxa"/>
            <w:shd w:val="clear" w:color="auto" w:fill="auto"/>
            <w:vAlign w:val="center"/>
          </w:tcPr>
          <w:p>
            <w:pPr>
              <w:pStyle w:val="19"/>
            </w:pPr>
            <w:r>
              <w:t>技术测试和分析服务</w:t>
            </w:r>
          </w:p>
        </w:tc>
        <w:tc>
          <w:tcPr>
            <w:tcW w:w="1531" w:type="dxa"/>
            <w:shd w:val="clear" w:color="auto" w:fill="auto"/>
            <w:vAlign w:val="center"/>
          </w:tcPr>
          <w:p>
            <w:pPr>
              <w:pStyle w:val="19"/>
            </w:pPr>
            <w:r>
              <w:t>C0901</w:t>
            </w:r>
          </w:p>
        </w:tc>
        <w:tc>
          <w:tcPr>
            <w:tcW w:w="709" w:type="dxa"/>
            <w:shd w:val="clear" w:color="auto" w:fill="auto"/>
            <w:vAlign w:val="center"/>
          </w:tcPr>
          <w:p>
            <w:pPr>
              <w:pStyle w:val="20"/>
            </w:pPr>
            <w:r>
              <w:t>万元</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907" w:type="dxa"/>
            <w:shd w:val="clear" w:color="auto" w:fill="auto"/>
            <w:vAlign w:val="center"/>
          </w:tcPr>
          <w:p>
            <w:pPr>
              <w:pStyle w:val="17"/>
            </w:pPr>
            <w:r>
              <w:t>130.00</w:t>
            </w:r>
          </w:p>
        </w:tc>
        <w:tc>
          <w:tcPr>
            <w:tcW w:w="1134" w:type="dxa"/>
            <w:shd w:val="clear" w:color="auto" w:fill="auto"/>
            <w:vAlign w:val="center"/>
          </w:tcPr>
          <w:p>
            <w:pPr>
              <w:pStyle w:val="17"/>
            </w:pPr>
            <w:r>
              <w:t>130.00</w:t>
            </w:r>
          </w:p>
        </w:tc>
        <w:tc>
          <w:tcPr>
            <w:tcW w:w="1134" w:type="dxa"/>
            <w:shd w:val="clear" w:color="auto" w:fill="auto"/>
            <w:vAlign w:val="center"/>
          </w:tcPr>
          <w:p>
            <w:pPr>
              <w:pStyle w:val="17"/>
            </w:pPr>
            <w:r>
              <w:t>130.00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rPr>
        <w:t>市场监督管理局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1609.93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val="en-US" w:eastAsia="zh-CN"/>
        </w:rPr>
        <w:t>无拟购置固定资产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rPr>
              <w:t>市场监督管理局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1609.93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6170.38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477.8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4,203.38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441.03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185.75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5460</w:t>
            </w:r>
            <w:bookmarkStart w:id="20" w:name="_GoBack"/>
            <w:bookmarkEnd w:id="20"/>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946.38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RkZjBhOWUyMTFhY2Q3YTliYjNkOTE4MDllMzEwMjMifQ=="/>
  </w:docVars>
  <w:rsids>
    <w:rsidRoot w:val="00D347CC"/>
    <w:rsid w:val="00007D86"/>
    <w:rsid w:val="000724DB"/>
    <w:rsid w:val="000F051B"/>
    <w:rsid w:val="001C1ECC"/>
    <w:rsid w:val="002C7716"/>
    <w:rsid w:val="00337B50"/>
    <w:rsid w:val="004A34CA"/>
    <w:rsid w:val="004A54AA"/>
    <w:rsid w:val="004F2381"/>
    <w:rsid w:val="006E2522"/>
    <w:rsid w:val="00741520"/>
    <w:rsid w:val="00744265"/>
    <w:rsid w:val="00820171"/>
    <w:rsid w:val="008214B0"/>
    <w:rsid w:val="008B1F94"/>
    <w:rsid w:val="008B75D1"/>
    <w:rsid w:val="008D036A"/>
    <w:rsid w:val="00903AEF"/>
    <w:rsid w:val="00940421"/>
    <w:rsid w:val="009C0E60"/>
    <w:rsid w:val="00A95137"/>
    <w:rsid w:val="00AB1BD0"/>
    <w:rsid w:val="00AC06ED"/>
    <w:rsid w:val="00B12C28"/>
    <w:rsid w:val="00B70E74"/>
    <w:rsid w:val="00B72CBF"/>
    <w:rsid w:val="00B80935"/>
    <w:rsid w:val="00B81206"/>
    <w:rsid w:val="00C50D45"/>
    <w:rsid w:val="00D347CC"/>
    <w:rsid w:val="00E24FB3"/>
    <w:rsid w:val="00E34D1A"/>
    <w:rsid w:val="00EA5121"/>
    <w:rsid w:val="00EB5A87"/>
    <w:rsid w:val="00EE67B1"/>
    <w:rsid w:val="00F04CCB"/>
    <w:rsid w:val="00F47729"/>
    <w:rsid w:val="00F85553"/>
    <w:rsid w:val="03CC156E"/>
    <w:rsid w:val="34A061F8"/>
    <w:rsid w:val="4830416D"/>
    <w:rsid w:val="4D937EE2"/>
    <w:rsid w:val="52033FF4"/>
    <w:rsid w:val="52D27C48"/>
    <w:rsid w:val="52F75711"/>
    <w:rsid w:val="539D7D57"/>
    <w:rsid w:val="7BDF764E"/>
    <w:rsid w:val="7EF60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link w:val="11"/>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character" w:customStyle="1" w:styleId="11">
    <w:name w:val="页脚 Char"/>
    <w:basedOn w:val="9"/>
    <w:link w:val="3"/>
    <w:qFormat/>
    <w:uiPriority w:val="99"/>
    <w:rPr>
      <w:kern w:val="2"/>
      <w:sz w:val="18"/>
      <w:szCs w:val="18"/>
    </w:rPr>
  </w:style>
  <w:style w:type="character" w:customStyle="1" w:styleId="12">
    <w:name w:val="页眉 Char"/>
    <w:basedOn w:val="9"/>
    <w:link w:val="4"/>
    <w:qFormat/>
    <w:uiPriority w:val="99"/>
    <w:rPr>
      <w:kern w:val="2"/>
      <w:sz w:val="18"/>
      <w:szCs w:val="18"/>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6">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38</Pages>
  <Words>20553</Words>
  <Characters>22120</Characters>
  <Lines>176</Lines>
  <Paragraphs>49</Paragraphs>
  <TotalTime>17</TotalTime>
  <ScaleCrop>false</ScaleCrop>
  <LinksUpToDate>false</LinksUpToDate>
  <CharactersWithSpaces>22278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小小</cp:lastModifiedBy>
  <cp:lastPrinted>2018-01-30T06:12:00Z</cp:lastPrinted>
  <dcterms:modified xsi:type="dcterms:W3CDTF">2023-09-23T08:27:27Z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E34D8E11876B43209D036C650937BDB8_13</vt:lpwstr>
  </property>
</Properties>
</file>